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Защита публичных интересов или частные интересы правообладателей?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2019, 14:06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Вопросы приоритетности одного перед другим обсудили на Петербургском международном юридическом форуме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мая 2019 года состоялась сессия ФАС России «Интеллектуальная собственность и антимонопольное регулирование». В мире такое регулирование основывается на положениях Соглашения по торговым аспектам прав интеллектуальной собственности (ТРИПС/TRIPS). В Российской Федерации требования антимонопольного законодательства не распространяются на результаты интеллектуальной деятельности и соглашения по ним.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 сессии, заместитель руководителя ФАС России Сергей Пузыревский отметил, что это может создавать необоснованные преимущества правообладателям в ущерб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в своём выступлении отметил, что конкуренция является конституционной ценностью и подчеркнул необходимость найти четкий баланс между частными и публичными интересами, что, по его словам, является задачей законодателя.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рассказал, что тема сегодня является крайне актуальной и добавил, что есть примеры монополизации рынков путем применения частного права, что может быть реализовано навязыванием товара, дополнительных ограничительных услуг, заключением соглашений на выход товара и иными методами.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есть вопросы конкуренции, должны включаться и инструменты антимонопольного контроля», </w:t>
      </w:r>
      <w:r>
        <w:t xml:space="preserve">- подчеркнул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начальник Правового управления остановился на развенчании «мифов» о введении антимонопольного регулирования в отношении исключительных прав. Он заявил, что отмена иммунитетов не лишит правообладателей своих исключительных прав, не разрушит «легальную монополию» на использование результатов интеллектуальной деятельности и не снизит интерес к инвестированию.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должны освободиться от мифов и заблуждений и обеспечить эффективную защиту конкуренции в Российской Федерации»,</w:t>
      </w:r>
      <w:r>
        <w:t xml:space="preserve"> - подытожил своё выступление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также согласился с необходимостью поиска баланса и отметил, что «нужно правильно провести водораздел» между частными и публичными интересами.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участники сессии обсудили внедрение инструментов принудительного лицензирования в тех случаях, когда злоупотребление правообладателем своими правами может приводить к нарушению публичных интересов: обороны и безопасности государства, жизни и здоровья граждан.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положения содержатся в международных соглашениях и имеют место в практике других государств.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социальной сферы и торговли ФАС России Тимофей Нижегородцев затронул вопрос компенсации при принудительном лицензировании. По его словам, размер выплат является ключевым вопросом этого права.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случаи принудительного лицензирования при физическом ограничении поступления товара в страну - это «экзотика», в мире этот механизм применяется при злоупотреблениях на рынках с неэластичным спросом, чтобы сбалансировать риски установления необоснованных цен. В качестве примера такого рынка Тимофей Нижегородцев назвал фармацевтику, где зачастую «злоупотребления интеллектуальными правами для препятствования выхода на соответствующие рынки конкурентов и установления «хищнических» цен — это один из способов ведения бизнеса».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мы не оговорим вопрос соразмерной компенсации при принудительном лицензировании в нормативных актах, суды будут назначать разницу в размере компенсации выпадающих доходов,</w:t>
      </w:r>
      <w:r>
        <w:t xml:space="preserve"> - добавил начальник Управления контроля социальной сферы и торговли. </w:t>
      </w:r>
      <w:r>
        <w:rPr>
          <w:i/>
        </w:rPr>
        <w:t xml:space="preserve">- Так мы обессмыслим институт принудительного лицензирования: никто не будет им пользоваться, потому что принципиальные вопросы с доступностью товара в опасных обстоятельствах, фактически, будут не решены».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мероприятия участники пришли к единому мнению, что изменение российского законодательства в части введения антимонопольного регулирования интеллектуальной собственности позволит обеспечить эффективность государственного регулирования, однако при этом необходимо обеспечить баланс интересов правообладателя и публичных конституционных интересов.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 нас очень хорошая система сдержек и противовесов. Правоприменение установит тот баланс, о необходимости которого мы говорили», </w:t>
      </w:r>
      <w:r>
        <w:t xml:space="preserve">- заключил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[photo_1252]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