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Легализация параллельного импорта поможет в реализации нацпроекта по развитию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13:50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Поддержке этой категории предпринимательства также будет способствовать установление на федеральном уровне минимальной доли рекламных конструкций, выставляемых на торги, для субъектов МСП в размере 20%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сферы рекламы и защиты от недобросовестной конкуренции характерно обеспечение интересов в первую очередь субъектов малого и среднего бизнеса. В связи с чем мы предлагаем ряд мер, направленных на поддержку именно этой категории предпринимателей, которые могут найти свое развитие в реализации национального проекта «Малое и среднее предпринимательство и поддержка индивидуальной предпринимательской инициативы[1]»,</w:t>
      </w:r>
      <w:r>
        <w:t xml:space="preserve"> – сообщил заместитель руководителя ФАС России Андрей Кашеваров в рамках IX Международной научно-практической конференции по конкурентной политике, состоявшейся 23 мая в г. Воронеже.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ФАС России на протяжении ряда лет последовательно выступает за замену действующего в России принципа национального (а в рамках ЕАЭС – регионального) исчерпания прав на товарные знаки международным, при котором исключительное право правообладателя считается исчерпанным, как только продукция была продана правообладателем или с его согласия в любой части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в России механизма обеспечения параллельного импорта не только создаст предпосылки для снижения цены на брендированную продукцию, но и даст возможность развитию малого и среднего бизнеса как основной категории параллельных импортеров, которые, в отличие от традиционных импортеров, не могут получить разрешения на ввоз товаров»</w:t>
      </w:r>
      <w:r>
        <w:t xml:space="preserve">, –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изменения предложены для внесения в Договор о ЕАЭС, однако в настоящий момент единство мнений всех государств – участников ЕАЭС не достигнуто.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напомнил, что ведомство рассматривает 3 дела о нарушении антимонопольного законодательства в отношении автоконцернов по фактам запрета правообладателями прав на ввоз автозапчастей лицам, с которыми не заключены соглашения о поставке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автоконцернов антимонопольная служба усматривает признаки недобросовестной конкуренции, запрещенной Законом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создания системы ускоренного развития субъектов МСП, включая индивидуальных предпринимателей, ФАС России разработала изменения в Закон о рекламе[3], направленные на поддержку этой категории бизнеса в сфере распространения наружной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предлагает установить минимальную долю мест установки рекламных конструкций, которые должны выставляться на торги для субъектов малого и среднего бизнеса, в размере 20% от каждого типа (вида). Документ также не ограничивает для них возможность принять участие в иных торгах за право установки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«Торги для этой категории предпринимателей должны будут предшествовать иным торгам, а один лот будет содержать одну рекламную конструкцию»</w:t>
      </w:r>
      <w:r>
        <w:t xml:space="preserve">, – пояснил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инициативы также разрабатывается единый порядок проведения торгов, включая порядок формирования лотов. При этом отбор мест для установки конструкций субъектами МСП должен будет носить недискриминационный характер[4].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утвержденном Президиумом Совета при Президенте Российской Федерации по стратегическому развитию и национальным проектам, протокол от 24.12.2018 № 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статьей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проект федерального закона № 18549-7 «О внесении изменений в статью 19 Федерального закона «О рекламе» и Кодекс Российской Федерации об административных правонарушениях», принятый Государственной Думой Российской Федерации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Места, сопоставимые с иными местами, в т.ч. по их территориальному размещению, по типу и виду рекламных конструкций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