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Позитивные шаги в сфере саморегулирования прослеживаются как в сфере рекламы, так и в сфере защиты от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на IX Международной научно-практической конференции по конкурентной политике, состоявшейся в г. Воронеже, начальник Управления контроля рекламы и недобросовестной конкуренции ФАС России Татьяна Никитина рассказала студентам о деятельности ФАС России по выявлению и пресечению случаев недобросовестной конкуренции. Она привела пример недавних наиболее ярких и показательных разбирательств по копированию упаковки и фирменного стиля товаров конкурентов недобросовестными производителями.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Никитина пояснила, что при смешении товаров продукция хозяйствующего субъекта по тем или иным параметрам настолько напоминает продукцию конкурента, что потребитель способен принять его товар за товар конкурента.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элементам сходства относят обозначения, не зарегистрированные в качестве товарных знаков, общий внешний вид, элементы оформления упаковки (этикетку, наименование), цветовую гамму и фирменный стиль в целом.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для целей более эффективного выявления наличия сходства и копирования товаров ФАС России и Ассоциация НП «ОКЮР» подписали соглашение о взаимодействии, в рамках специалисты «НП «ОКЮР» будут предоставлять заключения о наличии копирования или имитации между товарами, являющимися предметом рассмотрения дел в ФАС России, руководствуясь разработанными ими Методическими рекомендациями по определению сходства элементов, индивидуализирующих товары.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начальник Управления контроля рекламы и недобросовестной конкуренции ФАС России сообщила, что реклама, распространяемая по сетям электросвязи, чаще всего нарушает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втором месте в антирейтинге ФАС России – недостоверная реклама с 18% от общего числа нарушений, на третьем – нарушения в рекламе финансовых услуг с 13%.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Всего же за прошедший год ФАС России и 84 ее территориальных органа рассмотрели 15312 заявлений о несоответствии рекламы требованиям закона, возбудили 3970 дел и выдали 1477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начальник Татьяна Никитина сообщила в рамках мероприятия, проходившего на площадке Воронежского Государственного Университета.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напомнила о подписанных фармпроизводителями и рекламными агентствами в ноябре 2018 года Рекомендациях по соблюдению законодательства о рекламе безрецептурных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«Подписание документа стало серьезным шагом отрасли к самодисциплине и ответственному ведению бизнеса, поскольку в 2017 году тема нарушений в рекламе лекарств стояла очень остро: нами было возбуждено 24 дела и проведено заседание Экспертного совета по спорной рекламе»</w:t>
      </w:r>
      <w:r>
        <w:t xml:space="preserve">, – подчеркнула Татьяна Никитина.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