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Перевозка угля на Дальнем Востоке может быть предметом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2019, 17:22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нарушений выявлены в ходе совместных проверок Управления по борьбе с картелями ФАС России и Хабаровского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проверок обнаружены признаки заключения и реализации антиконкурентных соглашений в действиях АО «Дальневосточная генерирующая компания», АО «РусГидро Снабжение», АО «ВОСТЭК», ООО «ТрансКоул».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потенциальных соглашений заключалась в поддержании цен на торгах на право заключения договоров на перевозку угля железнодорожным транспортом, а также в создании преимущественных условий участия в торгах для определенных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«Поддержание цен на перевозку угля напрямую отразится на гражданах, так как эта стоимость закладывается в тариф на тепловую энергию»</w:t>
      </w:r>
      <w:r>
        <w:t xml:space="preserve">, -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АО «Дальневосточная генерирующая компания», АО «РусГидро Снабжение», АО «ВОСТЭК», ООО «ТрансКоул» возбуждено дело по признакам картеля на торгах (пункт 2 части 1 статьи 11 Закона о защите конкуренции) и антиконкурентного соглашения заказчика торгов с участником (пункт 1 части 1 статьи 17 Закона о защите конкуренции).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