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внедрила элементы риск-ориентированного подхода в институт концессионных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2019, 13:24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 этого момента существовал запрет на внесение изменений в первый год действия такого соглашения, что на практике вызвало значительные трудности в реализации инвестиционных мероприятий и на целый год затягивало внесение необходимых изменений или исправление неточностей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этот запрет отменён и ещё на начальном этапе исполнения концессии участники процесса могут предотвратить существующие проблемы и не допустить будущие. Это позволит сразу приступить к исполнению обязательств по концессии и не тратить время на внесение поправок. Необходимо отметить, что концессионные соглашения реализуется в основном в такой социально-значимой отрасли как ЖКХ и решение такого рода проблем приобретает особую важность и требует оперативности», -</w:t>
      </w:r>
      <w:r>
        <w:t xml:space="preserve"> подчеркнул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постановление было принято Правительством РФ*.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документ уточняет и расширяет перечень оснований, при которых антимонопольным органом может быть согласовано изменение условий концессионного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большое количество проблем при изменении условий концессионного соглашения связано с изменением перечня объектов, переданных инвестору по концессионному соглашению. Так, например, на практике может быть выявлено бесхозяйное технологически и функционально связанное с объектом концессии имущество, передача которого целесообразна действующему концессионеру, однако, ранее такого основания для изменения перечня концессии не было, сейчас барьер устранен. Или в процессе реализации концессии может потребоваться вывод определенных объектов из эксплуатации, а это тоже требует соответствующих изменений в концессионное соглашение, ранее такие изменения внести было затруднительно.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«Принятые изменения позволят решить эти проблемы, что упростит и ускорит процесс внесения изменений в концессионные соглашения, а также привлечь в сферу жилищно-коммунального хозяйства дополнительные частные инвестиции», - </w:t>
      </w:r>
      <w:r>
        <w:t xml:space="preserve">добавил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ФАС России продолжает деятельность по контролю за соблюдением антимонопольного законодательства, в том числе при исполнении концессионных соглашений. В частности, принятыми изменениями предусмотрена обязательность доказывания наличия причинно-следственной связи между основанием для внесения изменений и самими изменениями.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такая мера позволит избежать необоснованного и беспорядочного внесения изменений в концессионные соглашения, что исключит возможные риски злоупотребления сторон концессионного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*Постановление Правительства Российской Федерации от 03.06.2019 № 708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