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Неконкурентные преимущества для инвестора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Самарское УФАС России признало Правительство Самарской области, ООО «СМТ» и ООО «ММЦ «Клиника сердца» виновными в антиконкурентном соглашении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Правительство и ООО «СМТ» подписали инвестиционный меморандум, предметом которого стало строительство и ввод в эксплуатацию кардиохирургического центра. Со своей стороны, Правительство Самарской области пообещало Центру обширный пакет государственных гарантий и льгот.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исполнения меморандума было учреждено юридическое лицо ООО «Международный медицинский центр «Клиника сердца». По условиям меморандума Правительство области обязалось предоставить медицинскому учреждению преимущественные условия осуществления деятельности на рынке.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таких преференций – обязательство регионального Правительства по созданию условий для окупаемости проекта путем обеспечения потока пациентов, направляемых от лечебно-профилактических учреждений Самарской области, а также выплаты Центру недополученного дохода.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Международный Медицинский Центр «Клиника сердца» не введен в эксплуатацию.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 также, что в феврале 2017 года Самарское УФАС России вынесло решение о другом антиконкурентном соглашении, где участвовали ООО «СМТ», ООО «ЦЭХ-Здоровье», ООО «Медсимвол», министерство здравоохранения Самарской области, ООО «ДжиИ Хэлскеа» и ГБУЗ «СОКБ им. В.Д. Середавина» и нарушили п. 2 ч. 1 ст. 11, ст. 16 и пп. 1 и 2 ч. 1 ст. 17 Закона о защите конкуренции на аукционе по техническому обслуживанию и ремонту дорогостоящего медицинского оборудования, установленного в государственных бюджетных учреждениях здравоохранения Самарской области. Это решение антимонопольного органа стало поводом для возбуждения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Сейчас уголовное дело директора ООО «СМТ» и его заместителя, а также сотрудников ООО «СМТ» и ООО «ДжиИ Хэлскеа», обвиняемых по статьям 178, 204 УК РФ, заместителя министра здравоохранения Самарской области и руководителя департамента министерства, обвиняемых по ч. 1 ст. 286 и ст.ст. 33, 178 УК РФ, рассматривается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«Одной из важнейших задач ФАС России сегодня является контроль за соблюдением конкурентных процедур и правил при реализации национальных проектов, одним из которых является национальный проект «Здоравоохранение». Реализацией нацпроектов должны заниматься компании, предложившие на конкурентных торгах лучшие условия, а не те, что умеют «договариваться»,</w:t>
      </w:r>
      <w:r>
        <w:t xml:space="preserve">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