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отказала Государственной транспортно-лизинговой компании (ГТЛК) в удовлетворении ходатайства на покупку Brunswick Rail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2019, 17:23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Усиление доминирующего положения ГТЛК на рынке финансовой / операционной аренды вагонов за счет поглощения частных компаний может негативно повлиять на состояние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ГТЛК, как институту развития, рекомендовано использовать ограниченные бюджетные ресурсы на лизинг новых вагонов, добавляющих предложение на сети и способствующих сокращению дефицита провозных мощностей, а не на скупку б/у вагонов и частных компаний на вторичном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ГТЛК предписано обратить самое строгое внимание на недопустимость сдачи вагонного парка в аренду конечным грузоотправителям через длинную цепочку посредников, использование которой приводит к удвоению цен на услуги по предоставлению вагонов для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