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одобрила акционерное соглашение ПАО «Соллерс» и «Форд Раша Холдингс Б.В.»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2019, 15:26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После реструктуризации бизнеса «Форд Соллерс Нидерланды Б.В.» перейдёт под контроль ПАО "Соллерс", но управление компаний будет осуществляться совместно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Форд предоставит новой группе право на производство, сборку и обслуживание автомобилей марки Форд в России. Кроме того, в случае заключения специального инвестиционного контракта (СПИК) компания Форд будет оказывать содействие локализации компонентов на основе собственных разработок Форда.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Концентрация усилий касается автомобилей марки Транзит V363.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«Принимая во внимание, что сделка осуществляется ввиду перепрофилирования бизнеса Ford на территории России, а также тот факт, что данное акционерное соглашение не повлияет на долю компаний на рынке в сегменте легкового коммерческого транспорта, ФАС России приняла положительное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 
        </w:t>
        </w:r>
      </w:hyperlink>
      <w:r>
        <w:rPr>
          <w:i/>
        </w:rPr>
        <w:t xml:space="preserve">по сделке»,</w:t>
      </w:r>
      <w:r>
        <w:t xml:space="preserve"> - комментирует Елена Филашина, заместитель начальника Управления контроля промышленности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promyshlennosti/12dc0672-c19d-43de-9141-cf7630de50ef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