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инвестор для строительства терминала аэропорта г. Иркутск определен с нарушением закона</w:t>
      </w:r>
    </w:p>
    <w:p xmlns:w="http://schemas.openxmlformats.org/wordprocessingml/2006/main" xmlns:pkg="http://schemas.microsoft.com/office/2006/xmlPackage" xmlns:str="http://exslt.org/strings" xmlns:fn="http://www.w3.org/2005/xpath-functions">
      <w:r>
        <w:t xml:space="preserve">24 июля 2019, 12:38</w:t>
      </w:r>
    </w:p>
    <w:p xmlns:w="http://schemas.openxmlformats.org/wordprocessingml/2006/main" xmlns:pkg="http://schemas.microsoft.com/office/2006/xmlPackage" xmlns:str="http://exslt.org/strings" xmlns:fn="http://www.w3.org/2005/xpath-functions">
      <w:pPr>
        <w:jc w:val="both"/>
      </w:pPr>
      <w:r>
        <w:rPr>
          <w:i/>
        </w:rPr>
        <w:t xml:space="preserve">Органам власти региона и компаниям, участвующим в антиконкурентном соглашении, необходимо прекратить нарушение и определить инвестора в ходе конкурентной процедуры </w:t>
      </w:r>
    </w:p>
    <w:p xmlns:w="http://schemas.openxmlformats.org/wordprocessingml/2006/main" xmlns:pkg="http://schemas.microsoft.com/office/2006/xmlPackage" xmlns:str="http://exslt.org/strings" xmlns:fn="http://www.w3.org/2005/xpath-functions">
      <w:pPr>
        <w:jc w:val="both"/>
      </w:pPr>
      <w:r>
        <w:t xml:space="preserve">Комиссия Федеральной антимонопольной службы признала Губернатора Иркутской области, Правительство Иркутской области, АО «Рампорт Аэро», ООО Инфраструктурная Корпорация «Аеон», ООО «Новапорт», ООО «Система Управления», ООО «Терминал Иркутск», АО «Международный Аэропорт Иркутск», ООО «Новапорт Холдинг», АО «Аэропорт Толмачево» нарушившими пункт 4 статьи 16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Нарушение выразилось в заключении и участии в соглашении между органами государственной власти субъекта Российской Федерации и хозяйствующими субъектами, которое привело к ограничению доступа на рынок выполнения работ по реализации инвестиционного проекта строительства нового аэровокзального комплекса на территории международного аэропорта г. Иркутска.</w:t>
      </w:r>
    </w:p>
    <w:p xmlns:w="http://schemas.openxmlformats.org/wordprocessingml/2006/main" xmlns:pkg="http://schemas.microsoft.com/office/2006/xmlPackage" xmlns:str="http://exslt.org/strings" xmlns:fn="http://www.w3.org/2005/xpath-functions">
      <w:pPr>
        <w:jc w:val="both"/>
      </w:pPr>
      <w:r>
        <w:t xml:space="preserve">В результате этих действий частный инвестор для реализации инвестиционного проекта по строительству терминала был отобран без каких-либо конкурентных процедур.</w:t>
      </w:r>
    </w:p>
    <w:p xmlns:w="http://schemas.openxmlformats.org/wordprocessingml/2006/main" xmlns:pkg="http://schemas.microsoft.com/office/2006/xmlPackage" xmlns:str="http://exslt.org/strings" xmlns:fn="http://www.w3.org/2005/xpath-functions">
      <w:pPr>
        <w:jc w:val="both"/>
      </w:pPr>
      <w:r>
        <w:t xml:space="preserve">Губернатору Иркутской области и Правительству Иркутской области выданы обязательные для исполнения предписания о прекращении ограничивающего конкуренцию соглашения и о совершении действий, направленных на обеспечение конкуренции.</w:t>
      </w:r>
    </w:p>
    <w:p xmlns:w="http://schemas.openxmlformats.org/wordprocessingml/2006/main" xmlns:pkg="http://schemas.microsoft.com/office/2006/xmlPackage" xmlns:str="http://exslt.org/strings" xmlns:fn="http://www.w3.org/2005/xpath-functions">
      <w:pPr>
        <w:jc w:val="both"/>
      </w:pPr>
      <w:r>
        <w:t xml:space="preserve">АО «Рампорт Аэро», ООО Инфраструктурная Корпорация «Аеон», ООО «Новапорт», ООО «Система Управления», ООО «Терминал Иркутск», АО «Международный Аэропорт Иркутск», ООО «Новапорт Холдинг», АО «Аэропорт Толмачево» также выданы предписания о прекращении ограничивающего конкуренцию соглашения.</w:t>
      </w:r>
    </w:p>
    <w:p xmlns:w="http://schemas.openxmlformats.org/wordprocessingml/2006/main" xmlns:pkg="http://schemas.microsoft.com/office/2006/xmlPackage" xmlns:str="http://exslt.org/strings" xmlns:fn="http://www.w3.org/2005/xpath-functions">
      <w:pPr>
        <w:jc w:val="both"/>
      </w:pPr>
      <w:r>
        <w:t xml:space="preserve">Напомним, антимонопольное ведомство дважды направляло предупреждения о возможном нарушении антимонопольного законодательства в адрес Правительства региона и Губернатора Иркутской области, однако оба предупредительных документа были проигнорированы органами власти субъекта. В результате ФАС России было возбуждено антимонопольное дело.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