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Опыт Саратовской области о реализации мер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Министр экономического развития Саратовской области Юлия Швакова отметила, что в малом бизнесе на территории региона наблюдается положительная динамика – количество субъектов с начала года увеличилось на 1786 единиц.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Продолжая работу по увеличению доли закупок у субъектов малого предпринимательства, приоритет которой отмечен и в Национальном плане развития конкуренции, и в системных мероприятиях «дорожной карты» за последние несколько лет мы добились увеличения показателя активности по участию в закупках с 2,7 до 3,2 заявок на одну конкурентную процедуру</w:t>
      </w:r>
      <w:r>
        <w:t xml:space="preserve">», - указала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опыте Саратовской области по реализации Национального плана развития конкуренции и поддержке малого и среднего бизнеса читайте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интервью
        </w:t>
        </w:r>
      </w:hyperlink>
      <w:r>
        <w:t xml:space="preserve"> министра экономического развития Саратовской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ntent/interviews/235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