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Губернатор Псковской области: Туристская отрасль динамично развивается, и конкуренция позволяет ей быстро набирать необходимый опыт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августа 2019,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Интервью губернатора Псковской области Михаила Ведерникова о реализации положений Национального плана развития конкуренции в регионе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- Михаил Юрьевич, каким успешным опытом Псковской области Вы могли бы поделиться с другими регионами?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 качестве положительной практики следует отметить развитие рынка услуг дошкольного образования.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Один из наших приоритетов в этой сфере – развитие образовательных программ технической направленности, как в учреждениях дополнительного образования, так и на базе общеобразовательных школ.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2 последних года в Пскове открылись два детских технопарка – в Псковской инженерно-лингвистической гимназии и в Центре науки и спорта «Без предела».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2018 году мы открыли первый детский технопарк «Кванториум» в Пскове, а с текущего года создаем аналогичный центр в Великих Луках.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технопарках реализуются дополнительные программы по робототехнике, программированию, инжинирингу, естественно-научным направлениям, схемотехнике, 3D-моделированию и прототипированию.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Общими усилиями нам удалось на практически пустом рынке запустить сразу несколько важнейших проектов, которые полностью отвечают требованиям современности.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Полный текст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интервью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content/interviews/236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