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производителя конфет «Коркунов» на 100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2019, 11:15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ведомство признало рекламу компании с утверждением «Коркунов - бренд №1» некорректной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августа 2019 года ФАС России наложила на ООО «Одинцовская Кондитерская фабрика» штраф в размере 100 тысяч рублей за ненадлежащую рекламу конфет «Коркунов» на телеканале «ТВ Центр».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этого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антимонопольного ведомства установила
        </w:t>
        </w:r>
      </w:hyperlink>
      <w:r>
        <w:t xml:space="preserve">, что утверждение «Бренд №1» указывает на превосходство продукции этого производителя в сравнении с другими товарами. Однако важная информация о критериях такого сравнения является некорректной и вводящей в заблуждение потребителей, поскольку была выполнена мелким, нечитаемым шрифтом, занимала лишь 6% площади кадра и демонстрировалась всего в течение 2 секунд. Такая подача существенной рекламной информации нарушает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в ходе заседания председатель Комиссии, замглавы ФАС России Андрей Кашеваров, «информация, выполненная в рекламе нечитаемым, невоспринимаемым образом, определяется ведомством как отсутствующая. Тем более такая важная, как критерии сравнения, обосновывающие превосходство товара над всеми остальными».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 части 2,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 части 2 статьи 5, части 7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85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