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«Необходимо проведение сбалансированной региональной конкурентной политики на финансовом рынке»</w:t>
      </w:r>
    </w:p>
    <w:p xmlns:w="http://schemas.openxmlformats.org/wordprocessingml/2006/main" xmlns:pkg="http://schemas.microsoft.com/office/2006/xmlPackage" xmlns:str="http://exslt.org/strings" xmlns:fn="http://www.w3.org/2005/xpath-functions">
      <w:r>
        <w:t xml:space="preserve">20 августа 2019, 16:33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заявила заместитель начальника Главного управления Банка России по ЦФО Ирина Тимоничева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эти дни в Правительстве Московской области проходит Всероссийская конференция «Развитие конкуренции в муниципальных образованиях субъектов Российской Федерации». В мероприятии принимают участие около 300 представителей регионов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Пленарное заседание было посвящено подходам развития конкуренции на федеральном, региональном и муниципальном уровнях. Также в докладах участников первой части мероприятия были затронуты вопросы отраслевой специфики. Так, например, заместитель начальника Главного управления Банка России по Центральному федеральному округу Ирина Тимоничева сообщила: </w:t>
      </w:r>
      <w:r>
        <w:rPr>
          <w:i/>
        </w:rPr>
        <w:t xml:space="preserve">«Полученные в рамках проведенного Банком России анализа результаты свидетельствуют о высокой степени неоднородности конкуренции среди субъектов Российской Федерации. Это обуславливает необходимость проведения сбалансированной региональной конкурентной политики на финансовом рынке. Участие органов местного самоуправления в реализации нового стандарта по развитию конкуренции будет способствовать повышению доступности финансовых услуг и воплощению в жизнь принципа ориентации на потребителя».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Про региональную специфику реализации конкурентных принципов в рамках пленарного заседания рассказали заместитель Председателя Правительства Московской области Александр Чупраков и Председатель Комитета по конкурентной политике региона Елена Волкова.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Александр Чупраков, Московская область первой из субъектов Российской Федерации согласовала с ФАС России и утвердила ключевые показатели развития конкуренции. В Подмосковье их 34, на эти показатели будут ориентироваться ведомства и госструктуры в своей работе для того, чтобы обеспечить эффективное социально - экономическое развитие региона.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Председателя Правительства Московской области указал, что в формировании единой конкурентной среды используются «прорывные» решения в отдельных сферах экономики региона.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«Московская область отнесена к числу регионов, имеющих лучший региональный опыт по привлечению негосударственных организаций к оказанию социальных услуг населению. Отмечены результаты региона по централизации и цифровизации закупочной деятельности и земельно-имущественных торгов, в сферах услуг психолого-педагогического сопровождения детей с ограниченными возможностями здоровья, медицинских услуг и многих других. Хорошие показатели достигнуты и в части вывода неэффективных государственных и муниципальных унитарных предприятий с конкурентных рынков. Эта работа ведется в Подмосковье с 2015 года, ликвидировано уже более 550 унитарных предприятий»,</w:t>
      </w:r>
      <w:r>
        <w:t xml:space="preserve"> - заявил Александр Чупраков.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территории Подмосковья разработана и внедрена система мотивации ОМСУ к эффективной работе по содействию развитию конкуренции, которая признана лучшей практикой, рекомендованной к применению в субъектах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«Конференция по развитию конкуренции в муниципальных образованиях субъектов РФ – это отличная возможность для обмена опытом с коллегами из других регионов. Московская область готова делиться своими практиками, рассказывать о действующих системах и цифровых проектах, которые становятся важным элементом в развитии конкурентной среды, в том числе в сфере закупок»,</w:t>
      </w:r>
      <w:r>
        <w:t xml:space="preserve"> - отметил заместитель Председателя Правительства Александр Чупраков.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«Московская область является одним из передовых регионов, в котором успешно внедряются цифровые технологии на всех стадиях осуществления закупок. Электронный магазин для закупок малого объема уже зарекомендовал себя отличной площадкой для торговли. С начала работы экономия средств по закупкам малого объёма составила 2,5 млрд руб. Важным фактором развития конкурентной среды в сфере закупок также является этап исполнения контрактов. Для исключения возможных нарушений при исполнении контрактов необходимо создавать технологическую основу, обеспечивающую прозрачность действия сторон, создающую равные условия сторон по контракту. Только при наличии таких условий у бизнеса может появиться доверие к контрактной системе»</w:t>
      </w:r>
      <w:r>
        <w:t xml:space="preserve">, - добавила председатель Комитета по конкурентной политике Московской области Елена Волкова.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[photo_1338]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