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Разъяснения об особенностях рассмотрения дел по статье 14.4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контроля рекламы и недобросовестной конкуренции ФАС России подготовило рекомендации об особенностях рассмотрения дел о нарушении запрета, установленного статьей 14.4 Закона "О защите конкуренции"[1].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Рекомендации, направляемые ведомством в территориальные управления ведомства, служат приведению к единообразию рассмотрения заявлений о недобросовестной конкуренции. Речь идет о практиках, связанных с приобретением и использованием исключительных прав на средства индивидуализации, запрет на которую содержит статья 14.4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первой инстанции по рассмотрению дел об оспаривании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предприятий, выступает Суд по интеллектуальным правам.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поясняет, какие именно Суд по интеллектуальным правам устанавливает обстоятельства для признания таких действий правообладателя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разъяснения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Статья 14.4.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65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