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России, Правительство Пермского края и газоснабжающие компании заключили регуляторный контракт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2019, 18:21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Соглашение направлено на привлечение дополнительных объемов финансирования для региональной программы газификации и ускорения темпов ее реализации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сентября руководитель ФАС России Игорь Артемьев, губернатор Пермского края Максим Решетников, генеральный директор АО «Газпром газораспределение Пермь» и ООО «Газпром межрегионгаз Пермь» Сергей Черезов подписали регуляторный контракт в сфере газоснабжения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Заключение регуляторного контракта позволит привлечь дополнительное финансирование в размере 510 млн руб. за 5 лет на строительство семи распределительных газопроводов. Три объекта будет построено в Перми, по одному объекту в Добрянском, Нытвенском и Оханском городских округах, а также в Пермском районе. Часть средств будет направлена на развитие системы газоснабжения города Соликамска. Строительство объектов обеспечит техническую возможность подключения к газу для 12 142 домовладений. Общая протяженность построенных газопроводов составит около 56 км.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церемонии подписания Игорь Артемьев отметил: </w:t>
      </w:r>
      <w:r>
        <w:rPr>
          <w:i/>
        </w:rPr>
        <w:t xml:space="preserve">«Несколько передовых регионов, в том числе Пермский край, смогли вместе с ФАС договориться о подписании регуляторных контрактов с Газпромом, основным поставщиком газа, которыми вводится специальная предусмотренная законом тарифная надбавка, дающая возможность привлечения дополнительных инвестиций в развитие газоснабжения без опережающего инфляцию роста тарифа, чтобы достроить газопроводы, развести и подвести газ непосредственно людям».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намерены распространить такую практику регуляторных контрактов и дополнительных ресурсов на электроснабжение, водоснабжение, водоотведение, чтобы это все строилось, и был достигнут эффект, ради которого все начиналось: чтобы люди получали газ, чистую воду и надежное энергоснабжение»,</w:t>
      </w:r>
      <w:r>
        <w:t xml:space="preserve">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Решетников подчеркнул:</w:t>
      </w:r>
      <w:r>
        <w:rPr>
          <w:i/>
        </w:rPr>
        <w:t xml:space="preserve"> «Специальная надбавка, которая введена в Пермском крае, позволяет развивать газификацию, делать внутри селений и городов сети низкого давления и подавать газ в дома. Это большой шаг. Соглашение дает возможность дополнительно направить деньги на газификацию, за 5 лет это – полмиллиарда рублей. Это ощутимый ресурс».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вектор существенно изменился: за 2017-2018 годы мы подключили 12 000 объектов, и я думаю, что 8000 еще в этом году подключим. Таких темпов газификации в крае не было</w:t>
      </w:r>
      <w:r>
        <w:t xml:space="preserve">», - заключил губернатор.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Сергей Черезов отметил, что </w:t>
      </w:r>
      <w:r>
        <w:rPr>
          <w:i/>
        </w:rPr>
        <w:t xml:space="preserve">«те задачи, которые стоят перед Газпромом на территории Пермского края невозможно было бы решить без дополнительных инвестиций, которые образовываются за счет регуляторного контракта, поэтому, безусловно, реализация контракта – это новые газифицированные квартиры на территории Пермского края».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церемонии подписания приняли участие заместители руководителя ФАС России Анатолий Голомолзин и Виталий Королёв.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[photo_1362]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[video_2302]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Регуляторный контракт предусматривает использование для газификации региона кроме специальной надбавки к тарифу на транспортировку газа по газораспределительным сетям дополнительные источники финансирования, определенные в рамках утверждения тарифов на следующий долгосрочный период регулирования (в период с 2019 по 2023 годы включительно).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Основными целями подписания контрактов являются: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i/>
        </w:rPr>
        <w:t xml:space="preserve">направление дополнительных средств от тарифной выручки регулируемыми организациями (за счет сокращения операционных затрат) на газификацию городов и поселков;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i/>
        </w:rPr>
        <w:t xml:space="preserve">закрепление и реализация всех базовых принципов ФАС России в области тарифного регулирования: долгосрочность тарифов (не менее 5 лет), «инфляция минус», обоснованность составляющих затрат по эталонному методу, исключение расходов, носящих необязательный характер, анализ закупок на соответствие Федеральному закону «О закупках товаров, работ, услуг отдельными видами юридических лиц» (223-ФЗ);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i/>
        </w:rPr>
        <w:t xml:space="preserve">реализация принципа «единого окна» при работе с потребителями;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i/>
        </w:rPr>
        <w:t xml:space="preserve">сокращение стоимости и сроков подключения потребителей к газораспределительным сетям.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