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200 тысяч рублей штрафа за слишком быструю рекламу на радио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2019, 14:20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«Главстрой-СПб специализированный застройщик» и ФГУП «ВГТРК» нарушили рекламное законодательство[1] в эфире радиостанции «Вести ФМ»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2019 года ФАС России вынесла постановление о наложении на ООО «Главстрой-СПб специализированный застройщик» и ФГУП «ВГТРК» административных штрафов по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ведомство признало ненадлежащей рекламу 
        </w:t>
        </w:r>
      </w:hyperlink>
      <w:r>
        <w:t xml:space="preserve">финансовых услуг по привлечению денежных средств участников долевого строительства жилого комплекса «Северная долина». Форма и условия размещения такой рекламы не позволяли потребителю должным образом воспринять информацию о проектной декларации и наименовании застройщика из-за большой скорости представления информации. А формальное присутствие существенной информации, если она не воспринимается потребителями, не может рассматриваться как ее наличие.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признания нарушения рекламодателю – ООО «Главстрой-СПб специализированный застройщик» и рекламораспространителю – ФГУП «Всероссийская государственная телевизионная и радиовещательная компания» были выданы предписания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28 Федерального закона «О рекламе»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должна содержать сведения о месте размещения проектной декларации, предусмотренной федеральным законом, фирменное наименование (наименование) застройщика либо указанное в проектной декларации индивидуализирующее застройщика коммерческое обозначение.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может содержать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такое коммерческое обозначение (наименование жилого комплекса) указано в проектной декларации.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статьей 28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 рекламораспространитель несет ответственность за нарушение требований, установленных частью 7 статьи 28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7 статьи 28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06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