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Потребность в разрешениях на параллельный импорт возникает, поскольку правообладатели не всегда обеспечивают альтернативу для потребителя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2019, 16:05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рекламы и недобросовестной конкуренции ФАС России Яна Склярова сообщила об этом в ходе образовательной конференции по интеллектуальной собственности «IP Академия».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мнению, существующее в части параллельного импорта законодательство не устанавливает абсолютных запретов, но предполагает диалог между правообладателем и лицом, которое использует его товары.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инициативы ФАС появляются как реакция на дискомфорт на рынке. Сначала мы видим, что есть потребность в выработке механизмов доступа к товарам, маркированным товарными знаками зарубежных правообладателей при условии обеспечения им возможности контроля подлинности импортируемых партий. При этом многие опасения правообладателей, связанные с легализацией параллельного импорта и его влиянием на распространение контрафакта, не оправданы»</w:t>
      </w:r>
      <w:r>
        <w:t xml:space="preserve">, – пояснила Яна Склярова.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также отметила, что инициативы ФАС не подразумевают вмешательства в дела, касающиеся интеллектуальной собственности, а затрагивают только экономические интересы.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Параллельный импорт призван справиться с ценовой, качественной и ассортиментной дискриминацией со стороны правообладателей, а также снять дополнительные ограничения на деятельность малого и среднего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«Потребность в разрешениях на параллельный импорт возникает, поскольку правообладатели не всегда обеспечивают альтернативу для потребителя»,</w:t>
      </w:r>
      <w:r>
        <w:t xml:space="preserve"> – сказала замначальника Управления контроля рекламы и недобросовестной конкуренции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состоялся в рамках дискуссии «Защита права на товарный знак. Контрафакт и параллельный импорт» конференции «IP Академия» в Сколково.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