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о строительном картеле по материалам уголовного дела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2019, 15:38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организации картеля подозреваются ООО СК «Стройлайн» и ООО «Вымпел». Также в ходе анализа материалов уголовного дела выявлены признаки сговора ООО «Стройлайн» с заказчиком торгов - ПАО «РусГидро»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порядке взаимодействия Следственное управление МВД по Республике Хакасия направило в антимонопольный орган материалы уголовного дела, возбужденного по признакам преступления, предусмотренного пунктом «а» части 2 статьи 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анализа материалов Федеральная антимонопольная служба возбудила дело в отношении ООО СК «Стройлайн» и ООО «Вымпел» по признакам картельного сговора в ходе проведения ряда закупок в сфере строительства (п.2 ч.1 ст.11 Закона о защите конкуренции), а также в отношении ПАО «РусГидро» и ООО «Стройлайн» по признакам создания заказчиком торгов на осуществление строительных работ на Саяно-Шушенской ГЭС им. Непорожнего преимущественных условий для участника торгов – ООО СК «Стройлайн» (п.1 ч.1 ст.17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«Выявление и пресечение картелей в сфере строительства – это одно из приоритетных направлений деятельности ФАС России», </w:t>
      </w:r>
      <w:r>
        <w:t xml:space="preserve">– прокомментировал начальник Управления по борьбе с картелями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отметил, что «</w:t>
      </w:r>
      <w:r>
        <w:rPr>
          <w:i/>
        </w:rPr>
        <w:t xml:space="preserve">взаимодействие с правоохранительными органами является одним из ключевых факторов эффективного выявления и пресечения картелей в наиболее значимых сферах жизни наших граждан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*Во исполнение Национального плана развития конкуренции в Российской Федерации, утвержденного Указом Президента Российской Федерации от 21 декабря 2017 г. № 618, ФАС России уделяет особое внимание декартелизации сферы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**Взаимодействие с правоохранительными органами проходит в соответствии с межведомственной программой мер по выявлению и пресечению картелей и иных ограничивающих конкуренцию соглашений на 2019 - 2023 годы, разработанной ФАС России в рамках исполнения поручения Президента РФ в целях создания эффективной единообразной практики по борьбе с картелями и утвержденной Правительством.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