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Вышел в свет третий номер журнала «Российское конкурентное право и экономика» за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Выпуск открывается редакционной статьей, посвященной проблеме кодификации экономических правил поведения, в том числе в сфере конкуренции (С.В.Максимов, ФАС России, ИПРАН РАН).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 отмечено нарастание масштабов и темпов реформирования экономического законодательства, его внутренней и внешней противоречивости. Сформировавшаяся объективная потребность в упорядочении «облачного» экономического регулирования не может быть эффективно удовлетворена без помощи предварительного математического моделирования нормотворческих решений и практики их применения. Современные цифровые технологии позволяют значительно сократить число экспериментов на «живой» экономике.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Исследованию понятия мнимой конкуренции, ее негативного влияния на реальную конкуренцию посвящена статья К.Н. Алешина (ФАС России, Университет МГИМО). В ней подвергнут критике нормативистский подход к толкованию конституционного запрета на монополизацию и монополистическую деятельность. Обоснована необходимость законодательного закрепления запрета на мнимую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 Башлакова-Николаева И.В. (РЭУ им. Г.В. Плеханова) рассмотрены основание и условия применения мер административной ответственности за злоупотребление доминирующим положением на товарном рынке. Автор считает, что при установлении доминирующего положения антимонопольный орган должен устанавливать выполнение всех необходимых условий, указанных непосредственно в Законе о защите конкуренции, а не только условий, определяемых на основании Приказа ФАС России от 28.04.2010 № 220. Предложены и обоснованы меры по расширению превентивной направленности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А.В. Рего (Ассоциация антимонопольных экспертов) и А.Ю Мацкевич (ПАО «МТС») исследуют вопросы законодательного определения и толкования правоприменителями понятия «тайна связи». Авторы критикуют расширительный подход к толкованию понятия «тайна связи». Статья сопровождается комментарием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Возможность применения антимонопольных запретов к условиям, которые прямо предусмотрены ГК РФ в качестве необходимых и (или) возможных к включению в соответствующий договор должна быть, по мнению Е.А. Кузнецовой и М.Ю. Кот (Юридическая фирма «Инфралекс»), исключена. Авторы предлагают на первом этапе решить эту проблему при помощи специального разъяснения Президиума ФАС России, на втором этапе – путем внесения системных изменений в антимонопольное законодательство. Статья сопровождается комментарием ФАС России (Молчанов А.В., начальник Правового управления 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 И.В. Акимовой и К.Б. Симаковой (Адвокатское бюро BGP Litigation) исследован новый правовой механизм, распространяющий полномочия ФАС России по контролю за осуществлением иностранных инвестиций не только на хозяйственные общества, имеющие стратегическое значение, но и на любые другие российские хозяйственные общества, которые, по оценке антимонопольного органа, имеют ключевое значение для российской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Ю.Г. Васин (Институт актуального образования «ЮрИнфоР») и Рудая Т.Ю. (Ростовский юридический институт МВД России) предлагают для обсуждения на уровне экспертов и заинтересованных правоприменителей общий алгоритм формирования математической (стохастической) модели противодействия картелям как социально-правовому явлению, позволяющей реализовать функцию прогноза. Предложены направления использования рассматриваемых моделей для целей создания системы сравнительного мониторинга картелизации товарных рынков ЕАЭС.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Астанин А.Н. (Банк ВТБ) раскрывает практические аспекты внедрения в компании антимонопольного комплаенса, освещает процессы проведения внутренних служебных расследований, содержит практические советы по организации эффективного обучения сотрудников.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Правовым проблемам внесения изменений в условия государственного (муниципального) контракта посвящена статья М.А. Максимовой (Институт права Башкирского государственного университета, Ассоциация антимонопольных экспертов). В рамках анализа судебной практики определяются критерии и основания, по которым изменение условий контракта может рассматриваться как антимонопольное правонарушение.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Подходы органов по защите конкуренции зарубежных стран к определению продуктовых и географических границ товарного рынка, на котором осуществляют деятельность цифровые платформы в сфере туризма, анализирует О.В. Мильчакова (МГЮА). Исследована практика регулирования в отношении политики онлайн-платформ по установлению «широкого» и «узкого» паритета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 Пружанского В.Е. (RBB Economics) исследованы ключевые экономические принципы анализа допустимости сделок экономической концентрации европейскими и американскими антимонопольными органами. Рассматриваются особенности трех наиболее распространенных видов таких сделок: горизонтальные, вертикальные и конгломератные сделки.</w:t>
      </w:r>
      <w:r>
        <w:br/>
      </w:r>
      <w:r>
        <w:t xml:space="preserve">
Беляев С.Г. и Капитонов И.А. (Высшая школа тарифного регулирования РЭУ им. Г.В. Плеханова) поднимают вопросы роста цен на топливо, авторы предлагают сравнение ключевых макроэкономических показателей стран, имеющих схожий уровень цен на бензин.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 Москвитина О.А. (Институт конкурентной политики и регулирования рынков НИУ ВШЭ) и Бочинина И.П. (Коллегия адвокатов «Муранов, Черняков и партнеры») рассматриваются некоторые проблемы формирования единообразной правоприменительной практики на примере конкретных решений Апелляционной коллегии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номере опубликовано ежеквартальное научное обозрение наиболее значимых решений Апелляционной коллегии ФАС России. Вниманию читателей представлены решения, вынесенные во II квартале 2019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Номер подготовлен с участием Ассоциации антимонопольных экспертов.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