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«Телекомпания НТВ» нарушило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14:43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эфире телеканала «НТВ-ХИТ» громкость рекламы превышала громкость передач до 5 дБ при 1,5 разрешенных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внеплановой проверки сотрудники ведомства записали эфир телеканала «НТВ-ХИТ» для измерения соотношения уровня громкости рекламы и среднего уровня громкости прерываемой телепередачи.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 зафиксирован ряд случаев, когда громкость звука блоков рекламы, анонсов и логотипов телеканала превышала громкость прерываемой ими телепередачи от 1,6 дБ до 5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Комиссия ФАС России признала АО «Телекомпания НТВ» нарушившим требования Закона о рекламе. Телекомпании как рекламораспространителю на телеканале «НТВ-ХИТ» выдано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разбирательства переданы для возбуждения дела об административном правонарушении. Согласно КоАП РФ[1] административный штраф за такого рода 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Запись фрагмента эфира телепрограммы для измерения соотношения уровней громкости звука рекламы или анонсов и прерываемой ими телепрограммы была сделана 3 сентября 2019 года в период с 11 часов 30 минут по 12 часов 30 минут. Источник записи: выход эфирного тракта вещательного сервера.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1 статьи 14.3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