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Как будет осуществляться интеграция Национальных проектов и Нацплана развития конкуренции?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27 октября 2019, 10:15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настоящее время в Российской Федерации в целях улучшения качества жизни граждан и развития экономки реализуются Национальный план развития конкуренции на 2018 – 2020 годы* и Национальные проекты**.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стратегические документы имеют общую цель по развитию и стабильному росту экономики Российской Федерации, а, следовательно, не могут быть эффективно реализованы в отрыве друг от друга.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то же время при реализации Национальных проектов могут возникать риски нарушения антимонопольного законодательства и законодательства о закупочной деятельности.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ряд мероприятий этих документов могут быть не согласованы с задачами и мероприятиями Национального плана развития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целях выявления таких рисков и противоречий ФАС России и ее территориальными органами проводится анализ реализуемых национальных, федеральных и региональных проектов, подготовлены предложения по их совершенствованию.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инициативе ФАС России представители антимонопольных органов включаются в органы проектного управления на федеральном и региональном уровнях.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Вместе с тем органам государственной власти и органам местного самоуправления необходимо самостоятельно* проводить работу по выявлению рисков нарушения антимонопольного законодательства, законодательства о закупочной деятельности, отклонения от проконкурентных подходов, заложенных в Национальном плане развития конкуренции, и корректировке соответствующих проектов и планов их реализации.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Мероприятия национальных, федеральных и региональных проектов, распределение финансовых потоков необходимо формировать с учетом задачи по развитию конкуренции в Российской Федерации с целью обеспечения стабильного роста российской экономики и повышения ее конкурентоспособности.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 Утвержден Указом Президента Российской Федерации от 21.12.2017 № 618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** Разработаны во исполнение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