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О сочетании защиты и конкуренции, и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2019, 17:42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Методы и последствия конкурентной борьбы в цифровую эпоху обсудили эксперты на сессии, посвященной вопросам допустимых и недопустимых практик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октября 2019 года в рамках XI конференции «Антимонопольное регулирование в России» состоялась сессия «Кривое зеркало цифрового рынка: допустимые и недопустимые практики». Участники обсудили методы и последствия конкурентной борьбы глобальных цифровых гигантов с локальными IT-компаниями, технологичные виды недобросовестной конкуренции, ограничительные практики агрегаторов и особенности анализа и согласования сделок на цифровых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Анатолий Голомолзин в рамках этой сессии ответил на вопросы – какие ценности и приоритеты положены в основу антимонопольной политики и что мы защищаем на цифровых рынках, существует ли стратегия развития регулирования и каковы наиболее важные направления деятельности ФАС на цифровых рынках?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начал с основ: </w:t>
      </w:r>
      <w:r>
        <w:rPr>
          <w:i/>
        </w:rPr>
        <w:t xml:space="preserve">«Человек, его права и свободы являются высшей ценностью. Человек, а не простой оборот товаров и услуг стоит во главе хозяйственных отношений. Свобода, либерализм - краеугольные философские и духовные понятия, значимые и для экономических отношений. Философы говорят, что свобода «оправдана» тогда, когда она обусловлена истинными духовными ценностями, а экономисты их дополняют, утверждая, что истинная система ценностей способствует устойчивому экономическому развитию</w:t>
      </w:r>
      <w:r>
        <w:rPr>
          <w:i/>
        </w:rPr>
        <w:rPr>
          <w:b/>
        </w:rPr>
        <w:t xml:space="preserve">1</w:t>
      </w:r>
      <w:r>
        <w:rPr>
          <w:i/>
        </w:rP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считает, что </w:t>
      </w:r>
      <w:r>
        <w:rPr>
          <w:i/>
        </w:rPr>
        <w:t xml:space="preserve">«давно пора освободиться от некоторых заблуждений, например, о том, что свобода предпринимательства основана исключительно или преимущественно на философии экономического индивидуализма. Еще с давних времен начала промышленной революции, с разделения труда не стало экономических оснований для противопоставления индивидуальности и общества и стало очевидным значение коллективных институтов. Современный уровень обмена информации и цифровая трансформация в условиях минимальных транзакционных издержек делают рынки многосторонними, взаимоувязанными и глобальными».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«Построение бизнеса на основе цифровых платформ, пулов прав интеллектуальной собственности, больших данных, цифровых алгоритмах, технологий адресного маркетинга, с одной стороны, и трансформации (в условиях экспоненциального роста информации) мышления, психологии и восприятия потребителей, с другой, - создают принципиально новые условия на рынке, </w:t>
      </w:r>
      <w:r>
        <w:t xml:space="preserve">- отметил замглавы ФАС. -</w:t>
      </w:r>
      <w:r>
        <w:rPr>
          <w:i/>
        </w:rPr>
        <w:t xml:space="preserve"> Цифровая экономика создает качественно новые возможности для развития экономики, вместе с тем, недопустима подмена «невидимой руки рынка» «цифровой рукой рынка»».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несовершенства рынка, неограниченная свобода деятельности цифровых компаний, обладающих рыночной властью, может привести к нежелательным последствиям, причем не только к неравным условиям конкуренции между компаниями на рынке, но и к прямому ущербу потребителям. Поэтому речь должна идти не только об опосредованной защите интересов потребителей через защиту конкуренции, но также и о недопущении прямого ущемления интересов потребителей»,</w:t>
      </w:r>
      <w:r>
        <w:t xml:space="preserve"> - считает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«Антимонопольщикам совсем необязательно, </w:t>
      </w:r>
      <w:r>
        <w:t xml:space="preserve">- говорит Анатолий Голомолзин, - </w:t>
      </w:r>
      <w:r>
        <w:rPr>
          <w:i/>
        </w:rPr>
        <w:t xml:space="preserve">при рассмотрении дел о нарушениях антимонопольного законодательства или рассмотрении крупных сделок слияний и приобретений, постоянно воспроизводить философские и экономические постулаты. Но государственная конкурентная политика должна на них базироваться, и мы в рамках интеллектуального регулирования должны это понимать».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«Ценности и приоритеты закрепляются в базовых законодательных актах и документах, определяющих государственную политику. Прежде всего речь идет о статье 2 Конституции России и развивающих ее положения применительно к предпринимательской деятельности статьях 8 и 34. А ценностные ориентиры и приоритеты антимонопольной политики государства зафиксированы в Указах Президента РФ «О стратегии информационного общества» и «Об основных направлениях государственной конкурентной политики». Практика ФАС России по применению Закона о защите конкуренции в цифровой сфере получила признание и в стране, и за рубежом»,</w:t>
      </w:r>
      <w:r>
        <w:t xml:space="preserve"> - отметил в своем выступлении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[photo_1467]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Заева, начальник Управления регулирования связи и информационных технологий ФАС России, отвечая на вопрос в чем специфика цифровых кейсов и почему их нельзя поставить на поток, отметила, что нарушения на цифровых рынках идентичны нарушениям на традиционных, только они – невидимые. Она сравнила эти рынки с невидимой дорогой и невидимыми автомобилями на 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«Сложности существуют в доказательной базе. Нарушения кроются не в договорных отношениях, само правонарушение состоит в таком написании алгоритма, которое к этим нарушениям и приводит. Нам, как регулятору, нужно научиться читать алгоритмы или нанимать сторонних экспертов для проведения экспертизы. Другой аспект заключается в том, что сторонний эксперт, чтобы проверить платформу, должен обратиться к компании-разработчику за предоставлением прав на проверку. И, конечно, он их не получит и вернется к нам ни с чем. То есть сбор и сохранение доказательной базы – вот основные сложности цифровых кейсов», </w:t>
      </w:r>
      <w:r>
        <w:t xml:space="preserve">- сказала Елена Заева.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Процедура рассмотрения дел в России выгодно отличается от других стран, продолжил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«Так, дело по Microsoft мы рассматривали в течение 9 месяцев (за рубежом обычной является практика многолетних рассмотрений), и нарушение было устранено. Здесь сработал и институт предупреждения. Мы вынесли его в рамках рассмотрения дела. Компания не получила штрафных санкций, но при этом восстановила конкуренцию не только в нашей стране, но и в мире в целом»,</w:t>
      </w:r>
      <w:r>
        <w:t xml:space="preserve"> - привел пример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нужно регуляторам при рассмотрении подобных кейсов? Оперативно и адекватно реагировать на нарушения и опасные для конкуренции сделки слияний и приобретений. Второе – обеспечить взаимодействие антимонопольных регуляторов, в том числе в формате СНГ и ЕАЭС, БРИКС, на двусторонней и многосторонней основе, при рассмотрении трансграничных кейсов. Также необходимо, чтобы было хорошее понимание рынков, которое возможно в диалоге между регуляторами, участниками рынка и экспертами. Необходимо совершенствовать антимонопольное законодательство и так называемый 5-й антимонопольный пакет, разработанный ФАС на основе своей и лучшей зарубежной практики и с учетом лучших наработок в этой сфере, позволяет быть готовым к меняющимся условиям цифрового мира»,</w:t>
      </w:r>
      <w:r>
        <w:t xml:space="preserve"> - заключил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</w:t>
      </w:r>
      <w:r>
        <w:t xml:space="preserve"> </w:t>
      </w:r>
      <w:r>
        <w:rPr>
          <w:i/>
        </w:rPr>
        <w:t xml:space="preserve">См. статью Голомолзин А.Н. Теоретические основы государственной антимонопольной политики: вопросы философских и экономических учений // Российское конкурентное право и экономика.- №2 (18) 2019.- с.6 – 17.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i/>
        </w:rPr>
        <w:t xml:space="preserve">[video_2434]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