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Реконструкция очистных сооружений в Ростовской области стоимостью 1,3 млрд рублей проводилась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2019, 10:25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жалобу компании «ДВИГАТЕЛЬ» на действия Управления ЖКХ, транспорта и связи администрации Донецка (Ростовская область) при закупке работ по реконструкции очистных сооружений и строительству сетей городской канализации стоимостью порядка 1,3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утверждала, что заказчик установил излишние требования к составу первой части заявки, однако эти доводы не подтвердились.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в ходе внеплановой проверки Комиссия ФАС России выявила ряд нарушений Закона о контрактной системе. В частности, заказчик установил требования к показателям товаров в виде графических изображений, при этом инструкция по заполнению заявки не позволяла определить порядок указания этих значений, что содержало в себе риски неверного заполнения заявки и, следовательно, сокращению количества участников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были допущены нарушения в установлении требований к участникам закупки в соответствии с Постановлением Правительства № 99.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ПСД, объектом закупки также является реконструкция линейного объекта, в то время как требования в документации устанавливались о наличии опыта выполнения строительных работ в отношении объекта капстроительства.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уточнил начальник Управления контроля размещения госзаказа ФАС России Артем Лобов, заказчику предписано устранить выявленные нарушения Закона о контрактной системе, внеся изменения в закупочную документацию.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