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Власти Белгородской области представили обновленную «дорожную карту» по развитию конкуренции в регионе до 2021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нее вошли три дополнительных рынка: реализации сельскохозяйственной продукции, финансовых и IT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Обновленная «дорожная карта»</w:t>
      </w:r>
      <w:r>
        <w:t xml:space="preserve"> по развитию конкуренции в регионе на период 2019-2021 гг. утверждена постановлением губернатора Белгородской области в сентябре 2019 года после согласования документа с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задачи «дорожной карты» – реализация эффективной конкурентной политики и, как следствие, формирование благоприятной среды для развития предпринимательства, а также добросовестной конкуренции между хозяйствующими субъектами в отраслях экономики Белгородской области в интересах потребителей товаров 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предусматривает реализацию системных мероприятий, направленных на совершенствование конкуренции в регионе по главным направлениям, определённым Стандартом развития конкуренции. «Дорожная карта» охватывает 36 товарных рынков области. Они были определены по итогам анализа результатов ежегодного мониторинга состояния и развития конкурентной среды в регионе. Также в документ были включены результаты опросов потребителей и предпринимателей».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Артём Молчанов добавил, что «дорожные карты» обновляются с учётом особенностей экономики каждого региона. В Белгородской области она была дополнена рынками реализации сельскохозяйственной продукции, финансовых и IT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«Каждый субъект Российской Федерации должен направить в ФАС проект обновленной «дорожной карты» для последующего согласования. Документ формируется по нескольким критериям. Учитываются особенности экономики каждого региона, мнения потребителей и предпринимателей. Подчеркну, что очень важно оперативно актуализировать данные и завершить работы по утверждению «дорожных карт»»</w:t>
      </w:r>
      <w:r>
        <w:t xml:space="preserve">, - сказал Артём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утвержденному документу, к 1 января 2022года доля частных организаций на рынке услуг по обращению с твердыми бытовыми отходами должна составлять 100%, доля частных медорганизаций, работающих в системе ОМС – не менее 46,5%, а доля частных организаций, оказывающих социальные услуги увеличится минимум до 13,6%.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помощь регионам разработаны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методические рекомендации
        </w:t>
        </w:r>
      </w:hyperlink>
      <w:r>
        <w:t xml:space="preserve"> по подготовке «дорожной карты», содержащие примерный перечень мероприятий, который может быть расширен субъектом.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5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