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Правление ФАС России утвердило корректировку долгосрочных тарифов на перевозку грузов железнодорожным транспортом для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2019, 12:39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со снижением темпов инфляции, индексация тарифов пересчитана по ранее утвержденной формуле, исходя из среднего значения темпов инфляции за 2 предыдущих и целевых значений на 2 последующих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Составляющие долгосрочного тарифного решения, такие как объемы и структура грузооборота, доходы и расходы, инвестиционная программа ОАО «РЖД» не пересматривались.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Индексы роста тарифов на грузоперевозки составят: в 2020 году — 3,5% (вместо ранее установленных 3,6%), в 2021 г. – 3,7% (вместо 3,9%), в 2022 г. – 3,6% (вместо 3,8 %), в 2023 г. – 3,8% (вместо 3,9 %), в 2024г. и в 2025г. – 3,9% (без изменений).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Совокупный эффект для экономики от корректировки тарифов на сниженную инфляцию, за период до 2025 года, составил –2,7% индексации или –41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направляется в Минюст России для регистрации в установленном порядке.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