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Новый национальный план - это переход от количественных показателей развития конкуренции к качественным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2019, 19:31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проекте Национального плана развития конкуренции на 2021-2025 гг и планируемых мероприятих, а также результатах реализации Национального плана развития конкуренции 2018-2020 рассказали участники пленарной сессии научно-практической конференции Общественного совета ФАС России 5 декабря 2019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о подготовленном ФАС России во исполнение поручения Правительства РФ проекте Национального плана развития конкуренции на 2021-2025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новый Национальный план определяет основные задачи по государственной политике в сфере развития конкуренции на 5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подготовке первого Национального плана мы ставили амбициозные цели. И наша общая задача на 2020 год - реализовать все запланированное на 100 процентов. Задачей нового Нацплана станет переход от количественных показателей к качественным»,</w:t>
      </w:r>
      <w:r>
        <w:t xml:space="preserve"> - прокомментировал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Национальный план 2021-2025 должен стать цифровым, в связи с чем одной из основных задач на предстоящие 5 лет должна стать цифровизация антимонопольного регулирования. Кроме того, проект Национального плана предусматривает дерегулирование естественных монополий, вовлечение в хозяйственный оборот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 важность качественного развития биржевых торгов и производных инструментов: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целей – это расширение развития биржевой торговли. Она должна занять существенную долю в развитии экономических отношений. Через биржевую торговлю, как флагман цифровых экономических отношений, должны решаться вопросы формирования и тарифного регулирования, антимонопольного регулирования с точки зрения подходов к ценам. Это именно те индикаторы, которые сегодня должны давать нам сигналы рынка для дальнейшего выстраивания регуляторики»</w:t>
      </w:r>
      <w:r>
        <w:t xml:space="preserve">, - пояснил начальник Правового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Артем Молчанов отметил, что приоритетными отраслями для развития конкуренции в проекте Национального плана определены здравоохранение, АПК, финрынки, дорожное строительство, наука и образование, информационные технологии, телекоммуникации, ЖКХ, электроэнергетика, природные ресурсы, транспорт.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планируемых мероприятий в предложенных сферах должна обеспечить переход к качественному развитию конкуренции в стране. В настоящее время перечень включенных в проект Нацплана отраслей не закрыт, предстоит дальнейшее его обсуждение, по итогам которого, возможно, перечень отраслей будет расширен»</w:t>
      </w:r>
      <w:r>
        <w:t xml:space="preserve">, - подытожил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мероприятия замначальника правового управления ФАС России Оксана Кузнецова рассказала о внедрении Стандарта развития конкуренции в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соглашений о взаимодействии между ФАС России и субъектами РФ, при участии территориальных органов антимонопольного ведомства, ФАС России оказывает содействие регионам в работе по актуализации планов мероприятий региональных «дорожных карт» по развитию конкуренции и осуществляет их согласование.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уже проведено 44 совещания с высшими должностными лицами субъектов РФ по вопросам реализации Национального плана развития конкуренции и актуализации региональных «дорожных карт». При этом, 82 региона направили в ФАС России проекты «дорожных карт» и более трети уже утвердили новые «дорожные карты» после их согласования ФАС России</w:t>
      </w:r>
      <w:r>
        <w:t xml:space="preserve">, - отметила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она пояснила, что создана межведомственная рабочая группа по вопросам реализации положений Стандарта</w:t>
      </w:r>
      <w:r>
        <w:t xml:space="preserve">1</w:t>
      </w:r>
      <w:r>
        <w:t xml:space="preserve">, в состав которой входят представители Минэкономразвития России, ФАС России, ЦБ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«Состоялось 4 заседания рабочей группы, на которых участники рассмотрели вопросы проведения оценки регионов по уровню содействия развитию конкуренции в субъектах Российской Федерации по итогам 2018 года, аспекты подготовки Методики проведения мониторингов для оценки состояния и развития конкуренции на товарных рынках субъекта РФ. По результатам подготовлены разъяснения по вопросам регионов о реализации Стандарта (рассмотрено более 50 вопросов)»</w:t>
      </w:r>
      <w:r>
        <w:t xml:space="preserve">, - рассказала представитель ФАС. </w:t>
      </w:r>
      <w:r>
        <w:rPr>
          <w:i/>
        </w:rPr>
        <w:t xml:space="preserve">- «Совместно с регионами ФАС России проведена большая и качественная работа по актуализации «дорожных карт». И это взаимодействие должно и будет продолжено при их реализации».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«Мероприятия «дорожных карт» должны обеспечить достижение ключевых показателей развития конкуренции, экономический рост регионов, а, следовательно, и рост экономики страны в цело</w:t>
      </w:r>
      <w:r>
        <w:t xml:space="preserve">м», - заключила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Распоряжение Правительства РФ от 17.04.2019 N 768-р.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