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Анонс заседания Правления ФАС России 19 декабря 2019 года</w:t>
      </w:r>
    </w:p>
    <w:p xmlns:w="http://schemas.openxmlformats.org/wordprocessingml/2006/main" xmlns:pkg="http://schemas.microsoft.com/office/2006/xmlPackage" xmlns:str="http://exslt.org/strings" xmlns:fn="http://www.w3.org/2005/xpath-functions">
      <w:r>
        <w:t xml:space="preserve">16 декабря 2019, 15:31</w:t>
      </w:r>
    </w:p>
    <w:p xmlns:w="http://schemas.openxmlformats.org/wordprocessingml/2006/main" xmlns:pkg="http://schemas.microsoft.com/office/2006/xmlPackage" xmlns:str="http://exslt.org/strings" xmlns:fn="http://www.w3.org/2005/xpath-functions">
      <w:pPr>
        <w:jc w:val="both"/>
      </w:pPr>
      <w:r>
        <w:rPr>
          <w:b/>
        </w:rPr>
        <w:t xml:space="preserve">19 декабря 2019 года в 11:00</w:t>
      </w:r>
      <w:r>
        <w:t xml:space="preserve"> состоится очередное заседание Правления ФАС России.</w:t>
      </w:r>
    </w:p>
    <w:p xmlns:w="http://schemas.openxmlformats.org/wordprocessingml/2006/main" xmlns:pkg="http://schemas.microsoft.com/office/2006/xmlPackage" xmlns:str="http://exslt.org/strings" xmlns:fn="http://www.w3.org/2005/xpath-functions">
      <w:pPr>
        <w:jc w:val="both"/>
      </w:pPr>
      <w:r>
        <w:rPr>
          <w:b/>
        </w:rPr>
        <w:t xml:space="preserve">В повестку включены </w:t>
      </w:r>
      <w:r>
        <w:t xml:space="preserve">следующие вопросы:</w:t>
      </w:r>
    </w:p>
    <w:p xmlns:w="http://schemas.openxmlformats.org/wordprocessingml/2006/main" xmlns:pkg="http://schemas.microsoft.com/office/2006/xmlPackage" xmlns:str="http://exslt.org/strings" xmlns:fn="http://www.w3.org/2005/xpath-functions">
      <w:pPr>
        <w:jc w:val="both"/>
      </w:pPr>
      <w:r>
        <w:t xml:space="preserve">об утверждении цен на мощность генерирующих объектов, отнесенных на 1 января 2010 г. и (или) на 1 января 2008 г. к группам точек поставки, в отношении которых торговля электрической энергией либо электрической энергией и мощностью осуществлялась участником оптового рынка, в отношении которого в перечень генерирующих объектов, определяемый распоряжением Правительства Российской Федерации для заключения договоров о предоставлении мощности, был включен генерирующий объект, для которого действует договор о предоставлении мощности и предельный объем поставки мощности которого равен нулю в течение 12 месяцев;</w:t>
      </w:r>
    </w:p>
    <w:p xmlns:w="http://schemas.openxmlformats.org/wordprocessingml/2006/main" xmlns:pkg="http://schemas.microsoft.com/office/2006/xmlPackage" xmlns:str="http://exslt.org/strings" xmlns:fn="http://www.w3.org/2005/xpath-functions">
      <w:pPr>
        <w:jc w:val="both"/>
      </w:pPr>
      <w:r>
        <w:t xml:space="preserve">об утверждении тарифов на услуги по оперативно-диспетчерскому управлению в электроэнергетике, оказываемые АО «Системный оператор Единой энергетической системы», на 2020 год;</w:t>
      </w:r>
    </w:p>
    <w:p xmlns:w="http://schemas.openxmlformats.org/wordprocessingml/2006/main" xmlns:pkg="http://schemas.microsoft.com/office/2006/xmlPackage" xmlns:str="http://exslt.org/strings" xmlns:fn="http://www.w3.org/2005/xpath-functions">
      <w:pPr>
        <w:jc w:val="both"/>
      </w:pPr>
      <w:r>
        <w:t xml:space="preserve">об установлении тарифа на услуги по передаче электрической энергии по единой национальной (общероссийской) электрической сети ООО «Элис» на 2020 год;</w:t>
      </w:r>
    </w:p>
    <w:p xmlns:w="http://schemas.openxmlformats.org/wordprocessingml/2006/main" xmlns:pkg="http://schemas.microsoft.com/office/2006/xmlPackage" xmlns:str="http://exslt.org/strings" xmlns:fn="http://www.w3.org/2005/xpath-functions">
      <w:pPr>
        <w:jc w:val="both"/>
      </w:pPr>
      <w:r>
        <w:t xml:space="preserve">о внесении изменений в Приказ ФСТ России от 27 июля 2010 г. № 156-т/1 «Об утверждении тарифов, сборов и платы на работы (услуги), связанные с перевозкой пассажиров, багажа и грузобагажа железнодорожным транспортом общего пользования во внутригосударственном сообщении и пробегом пассажирских вагонов, выполняемые в составе дальних поездов ОАО «Российские железные дороги», ОАО «Федеральная пассажирская компания», ОАО «Пассажирская компания «Сахалин», ОАО «АК «Железные дороги Якутии» и на работы (услуги) по использованию инфраструктуры железнодорожного транспорта общего пользования, оказываемые ОАО «Российские железные дороги», ОАО «АК «Железные дороги Якутии», при данных перевозках, цен (тарифов) на работы (услуги) по использованию инфраструктуры железнодорожного транспорта общего пользования, оказываемые ОАО «Российские железные дороги» при осуществлении перевозок пассажиров, багажа и грузобагажа железнодорожным транспортом общего пользования в пригородном сообщении в субъектах Российской Федерации, а также правил их применения (Тарифное руководство);</w:t>
      </w:r>
    </w:p>
    <w:p xmlns:w="http://schemas.openxmlformats.org/wordprocessingml/2006/main" xmlns:pkg="http://schemas.microsoft.com/office/2006/xmlPackage" xmlns:str="http://exslt.org/strings" xmlns:fn="http://www.w3.org/2005/xpath-functions">
      <w:pPr>
        <w:jc w:val="both"/>
      </w:pPr>
      <w:r>
        <w:t xml:space="preserve">об утверждении тарифа на услуги по транспортировке газа по газораспределительным сетям ООО «Фортуна +» на территории Новосибирской области.</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