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банку «МИА»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2019,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признаки недобросовестной конкуренции при продвижении банком своих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выдала АО КБ «МИА» предупреждение о прекращении действий, содержащих признаки нарушения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своем официальном сайте банк «МИА» размещал информацию о предоставляемых им услугах.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продвижении тех из них, что в основном связаны с рисками потери денежных средств для клиентов, кредитная организация в первую очередь указывала не на качество и характеристики обслуживания, а на участие в уставном капитале банка Правительства Москвы. Это преподносится компанией в качестве фактора надежности.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Банком использовались, в том числе, следующие формулировки: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«100% акционер банка – город Москва. Ваш вклад под надежной защитой!» &lt;…&gt; «КБ «МИА» (АО) предлагает Вам разместить временно свободные денежные средства в надежном банке со 100% государственным участием».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наличие государственного (муниципального) участия в капитале кредитной организации не влияет на исполнение ею своих обязательств, так как Российская Федерация и ее субъекты не отвечают по обязательствам кредитных организаций. Соответственно, этот критерий не повышает финансовую устойчивость и платежеспособность таких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«Использование финансовыми организациями при продвижении своих услуг указания на государственное участие в уставном капитале может создавать у потребителей впечатление о повышенной надежности таких организаций. В некоторых случаях это может приводить к возникновению у них преимущества перед другими участниками рынка финансовых услуг»,</w:t>
      </w:r>
      <w:r>
        <w:t xml:space="preserve"> – прокомментировал действия банка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2018 году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совместно с Банком России выпустили письмо,
        </w:t>
        </w:r>
      </w:hyperlink>
      <w:r>
        <w:t xml:space="preserve"> в котором не рекомендовали финансовым организациям при продвижении своих услуг манипулировать информацией об аффилированности с государством[2].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Кашеваров, ФАС России продолжит отслеживать информацию на сайтах кредитных организаций на соответствие нормам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случае выявления и у других банков аналогичного неконкурентного подхода к продвижению своих услуг, мы также продолжим принимать предусмотренные законодательством меры»</w:t>
      </w:r>
      <w:r>
        <w:t xml:space="preserve">, –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Выданное предупреждение подлежит исполнению в течение 10 дней с момента его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24.08.2018 № ИН-01-52/56 и ИА/67323/18 «О продвижении финансовыми организациями своих услуг»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68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