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количество жалоб на закупки продолжает расти, заказчики – злоупотреблять возможностью включения подрядчика в РНП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февраля 2020, 15:36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Самым распространенным нарушением на закупках в рамках национальных проектов стало ограничение количества участников на торгах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 начальник Управления контроля размещения госзаказа ФАС России Артем Лобов в ходе пресс-конференции в МИА «Россия сегодня», по итогам 2019 года ФАС России рассмотрела свыше 66,1 тысяч жалоб на закупки в рамках 44-ФЗ, что на 3,3% больше по сравнению с показателями 2018 года. 29,1 тысяч жалоб из 66,1 признаны обоснованными.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Количество обращений о включении в РНП в рамках 44-ФЗ выросли в 2019 году по сравнению с данными за 2018 год на 95,5% до 27,6 тысяч. При этом только в 14,6 (53,1%) случаях доводы заказчика обоснованы, и поставщик включается в такой перечень.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 сожалению, мы видим РПН становится инструментом борьбы с неугодными компаниями и часто сталкиваемся с тем, что одностороннее расторжение контракта со стороны поставщика связано с недобросовестностью самого заказчика, а не поставщика</w:t>
      </w:r>
      <w:r>
        <w:t xml:space="preserve">», - уточнил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223-ФЗ было подано 1647 обращений о включении подрядчика в РНП (+69,4% по сравнению с 2018 г.), в тоже время только в 635 случаях поставщики были включены в РНП, в более тысячи случаях – доводы для включения компании в РНП были не обоснованы.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[video_2621]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целом по итогам 2019 года на закупки в рамках 223-ФЗ поступило почти 13,7 тысяч жалоб, что на 91,3% больше, чем в 2018 году, порядка 4,4 тысяч таких обращений признано обоснованными.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начальник Управления контроля размещения госзаказа ФАС России рассказал о результатах проверок закупок, проводимых в рамках реализации Национальных проектов.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2019 году сотрудники территориальных управлений ФАС России провели почти 1,4 тысяч плановых и внеплановых проверок закупок по нацпроектам и рассмотрели порядка 1,5 тысяч жалоб на такие закупки. Было выявлено почти 3 тысячи нарушений на 1900 закупках. Самое распространённое нарушение на них – ограничение количества участников закупок. Чаще всего нарушения фиксировались на закупках в рамках национального проекта «Жилье и городская среда</w:t>
      </w:r>
      <w:r>
        <w:t xml:space="preserve">», - сообщил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[photo_1579]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