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13 марта в Москве состоится заседание Рабочей группы БРИКС по исследованию проблем конкуренции на фармацевтических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февраля 2020, 15:42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Спикерами мероприятия станут представители конкурентных ведомств БРИКС, Австрии, Италии, Турции, а также Антимонопольного центра БРИКС и фармацевтических компаний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фармацевтической индустрии в последние годы совершается большое количество сделок экономической концентрации. Только в 2019 году произошли два крупнейших слияния – это сделки Bristol-Myers Squibb / Celgene и Allergan / AbbVie. На начало 2020 года уже анонсирован ряд крупных сделок между компаниями Danaher и GE Healthcare, Pfizer и Mylan, Novatris AG и The Medicines Co, SANOFI и Synthorx Inc. Слияния фармацевтических гигантов, совершение которых планируется в 2020 году, входят в топ-10 крупнейших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Очевидно, что олигополизация фармацевтической отрасли требует более тщательного государственного регулирования и контроля сделок слияний и поглощений, оценки их последствий, в том числе недопущения роста цен в целях пресечения любых неправомерных практик.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Рабочей группы участники обсудят вызовы, которые несет за собой рост числа слияний в фармацевтической отрасли, проанализируют возможные способы предотвращения антиконкурентных практик и негативных последствий сделок на этом социально значимом рынке, а также поделятся опытом рассмотрения глобальных сделок в целях сближения наилучших практик стран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мероприятия выступит заместитель руководителя ФАС России Алексей Доценко. В качестве докладчиков в рамках заседания выступят представители конкурентных ведомств БРИКС, Австрии, Италии, Турции, а также Антимонопольного центра БРИКС Национального исследовательского университета «Высшая школа экономики» и фармацевтических компаний.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организуется ФАС России при поддержке Антимонопольного центра БРИКС Национального исследовательского университета «Высшая школа экономики» в рамках председательства Российской Федерации в межгосударственном объединении БРИКС в 2020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Покровский бульвар, д. 11 (здание НИУ ВШЭ).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Время: 10.00 - 17.00.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 до 11 марта 2020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