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Применяя вейверы, «большая фарма» может ускорить сроки рассмотрения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Добровольные отказы компаний от конфиденциальности при рассмотрении сделок антимонопольными органами - становятся важным механизмом международного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2020 года в НИУ Высшая школа экономики (ВШЭ) состоялось 9-е заседание Рабочей группы БРИКС на тему «Подходы конкурентных ведомств к глобальной экономической концентрации: как совместно реагировать на вызовы усиливающейся глобальной олигополии в сфере фармацевтики. Организаторами мероприятия выступили: ФАС России, ВШЭ и Международный центр конкурентного права и политики БРИКС (далее – антимонопольный центр БРИКС).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последние годы в фармацевтической индустрии было совершено большое количество сделок по слиянию фармкомпаний разного уровня и масштаба, сумма выручки которых исчисляется десятками млрд долларов. В 2020 году планируется еще несколько крупных соглашений. Подобная активизация фармгигантов требует тщательного государственного регулирования и контроля сделок, с целью оценки их последствий как для экономики в целом, так и для потребителей в частности»</w:t>
      </w:r>
      <w:r>
        <w:t xml:space="preserve">, -</w:t>
      </w:r>
      <w:r>
        <w:t xml:space="preserve">отметил заместитель руководителя ФАС России Павел Заборщиков.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рассмотрения глобальных сделок экономической концентрации ФАС России руководствуется договорной базой о сотрудничестве, которая насчитывает более полусотни различных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то время, когда рынки становятся глобальными, необходимо, чтобы международное сотрудничество тоже было глобальным и в части рассмотрения сделок. Это обеспечит практически одновременное вынесение решений, недопущение информационной асимметрии и противоречивых предписаний, эффективное использование ресурсов и сокращение сроков рассмотрения сделки»</w:t>
      </w:r>
      <w:r>
        <w:t xml:space="preserve">, - подчеркнула начальник Управления международного экономического сотрудничества ФАС России Леся Давыдова.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значение при сотрудничестве конкурентных ведомств при рассмотрении глобальных сделок экономического сотрудничества играют вейверы – механизм добровольного отказа компаний от конфиденциальности информации и документов, предоставляемых в антимонопольные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«Хозяйствующие субъекты, участвующие в сделках, дают разрешение на обмен конфиденциальной информацией, четко определяя тот объем данных, которыми антимонопольные органами могут обмениваться. Компании сами заинтересованы в предоставлении этого права на взаимодействие, потому что сокращаются сроки рассмотрения сделки и исключаются дублирующие запросы от антимонопольных ведомств»</w:t>
      </w:r>
      <w:r>
        <w:t xml:space="preserve">, - добавила Леся Давыдова.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мнению
        </w:t>
        </w:r>
      </w:hyperlink>
      <w:r>
        <w:t xml:space="preserve"> заместителя начальника Управления контроля социальной сферы и торговли ФАС России Надежды Шаравской, глобальные сделки должны рассматриваться конкурентными органами в тесном сотрудничестве, что позволит выработать единый подход к принятию решений, избежать противоречий, а также повысить контроль за исполнением предписаний, которые выдаются отдельными странами.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рынке лекарственных средств прослеживается четкий тренд на снижение качества инновационной активности крупных фармкомпаний. Они все больше поглощают независимые проекты и часто делают это не для коммерциализации разработок, а для «убийства» конкурентов - т.н. killer acquisitions - сохранения собственной рентной модели бизнеса и блокирования выхода на рынок прорывных решений. При этом на собственные исследования приходится всего 10 – 20 % инноваций «большой фармы», в остальном они используют разработки государственных научных институтов и небольших динамичных компаний. Для того, чтобы с одной стороны не лишить научные центры возможности продавать свои решения «большой фарме», но при этом не допустить зачистки рынка со стороны доминирующих игроков путем скупки и консервации потенциальных конкурентных прорывных решений, необходимо существенное изменение подходов антимонопольных ведомств к оценке экономической концентрации. Институт контроля экономической концентрации в условиях быстрых технологических изменений становится особенно важным: наиболее прогрессивные ведомства все больше фокусируются не на изолированном товарном рынке, а на инновационном развитии отрасли в целом и соответственно применяют меры антимонопольного реагирования, позволяющие не допустить уничтожения потенциальной конкуренции и блокирования развития альтернативных технологий, конкурирующих с бизнесом «большой фармы»»</w:t>
      </w:r>
      <w:r>
        <w:t xml:space="preserve">, - отметил директор Института права и развития ВШЭ-Сколково, директор Антимонопольного центра БРИКС Алексей Иванов.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также приняли участие директор департамента антимонопольного регулирования Евразийской Экономической Комиссии Алексей Сушкевич и эксперты конкурентных ведомств Италии, ЮАР, Бразилии, Индии, Швеции. Часть коллег присоединилась к мероприятию по средствам онлайн-связи.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Фотоматериалы предоставлены пресс-службой НИУ ВШЭ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[photo_1602]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53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