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разъясняет спорные вопросы по Закону о закупках и Закону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2020, 13:06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подготовило 4 разъяснения для формирования единой практики правоприменения территориальными органами ФАС при рассмотрении жалоб и проведении проверок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разъяснение</w:t>
      </w:r>
      <w:r>
        <w:t xml:space="preserve"> касается вопросов определения критериев формирования лота на закупках по содержанию/ремонту автодорог. В документе приведены критерии, нарушение которых в совокупности свидетельствует о неправомерном формировании лота.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Второе разъяснение</w:t>
      </w:r>
      <w:r>
        <w:t xml:space="preserve"> касается вопросов, связанных с отзывом бюджетных ассигнований при секвестре бюджетов.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Третье разъяснение</w:t>
      </w:r>
      <w:r>
        <w:t xml:space="preserve"> посвящено порядку формирования лота при закупке модульных фельдшерско-акушерских пунктов. В документе перечислены критерии, нарушение которых в совокупности свидетельствует о неправомерном формировании лота.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Четвертое разъяснение</w:t>
      </w:r>
      <w:r>
        <w:t xml:space="preserve"> информирует о порядке проведения закупок по организации строительства объектов «под ключ» по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Эти разъяснения подготовлены в рамках продолжения работы по унификации правоприменительной практики в сфере 44-ФЗ и 223-ФЗ на всей территории страны. Обращаем внимание, что заказчики могут формировать лоты с меньшей стоимостью, чем указана в разъяснениях, для создания более благоприятной конкурентной среды и снижения стоимости закупок</w:t>
      </w:r>
      <w:r>
        <w:t xml:space="preserve">», - сообщил заместитель руководителя ФАС России Михаил Евраев.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