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продавцов хлеба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2020,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антиконкурентного соглашения выявлены в одном из районов Забайкальского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 целях реализации поручения Правительства Российской Федерации, а также обеспечения государственного контроля за соблюдением антимонопольного законодательства проводит оперативный сбор информации о ценах на социально значимые товары, в том числе на хлеб и хлебобулочные изделия.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проводимого мониторинга Забайкальское УФАС выявило признаки антиконкурентного соглашения розничных продавцов, результатом которого стало существенное повышение цен на хлеб в одном из сельских районов Забайкальского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 синхронное повышение розничных цен тремя торговыми точками на ржаной и белый хлеб на 20%. При этом, анализ информации, имеющейся в распоряжении Забайкальского УФАС России, свидетельствует о том, что объективные причины для роста цен у розничных продавцов отсутствовали – все издержки остались на прежнем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обстоятельства, а также собранные доказательства стали для Забайкальского УФАС России поводом для возбуждения дела о нарушении п.1 ч.1 ст.11 Закона о защите конкуренции – картель с целью повышения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внимательно изучаем рынок зерна, муки, хлеба и хлебобулочных изделий и не видим объективных экономических причин для роста цен на эти товары. Тем не менее, отдельные намерения установления необоснованного повышения цен есть, и мы их оперативно пресекаем, в основном превентивными мерами, –</w:t>
      </w:r>
      <w:r>
        <w:t xml:space="preserve"> заявил начальник Управления по борьбе с картелями Андрей Тенишев.</w:t>
      </w:r>
      <w:r>
        <w:rPr>
          <w:i/>
        </w:rPr>
        <w:t xml:space="preserve"> – Однако попытки нажиться на гражданах на фоне пандемии и непростой экономической ситуации в отдаленных районах и муниципалитетах, где у потребителя нет иного выбора, как приобретать товары у участника картеля по завышенной цене, особенно циничны. Это настоящее преступление против населения».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предупредить всех, кто решится на сговор, что за такие действия предусмотрены не только огромные административные штрафы, но и уголовная ответственность для должностных лиц компаний»,</w:t>
      </w:r>
      <w:r>
        <w:t xml:space="preserve"> - подчеркнул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