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предполагаемого сговора в Республике Башкортостан могли нанести ощутимый ущерб бюджету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2020,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Сэкономленные в случае проведения конкурентных торгов средства могли быть направлены на борьбу с COVID-19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мая 2020 года Башкортостанское УФАС России возбудило дело в отношении ООО «Пасворд», ООО «Битрейтик» и ООО «Техноцель», обнаружив в их действиях признаки нарушения антимонопольного законодательства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участвовали в 59 аукционах на поставку цифрового оборудования в учреждения здравоохранения Республики Башкортостан. Сумма аукционов составила более 100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поддержания цен участники предполагаемого картеля отказались от конкурентной борьбы и подавали ценовые предложения с незначительным снижением НМЦК - 0,5 и 1%.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их действий социальные объекты получили оборудование по значительно завышенным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погоне за прибылью компании не гнушаются получать ее даже с такой социально значимой сферы, как здравоохранение. Конечно, такие действия не должны оставаться безнаказанными. Сейчас мы выясняем все обстоятельства дела. Если картель</w:t>
      </w:r>
      <w:r>
        <w:rPr>
          <w:i/>
        </w:rPr>
        <w:t xml:space="preserve">2</w:t>
      </w:r>
      <w:r>
        <w:rPr>
          <w:i/>
        </w:rPr>
        <w:t xml:space="preserve"> будет доказан, компании ждет штраф и, возможно, уголовная ответственность</w:t>
      </w:r>
      <w:r>
        <w:rPr>
          <w:i/>
        </w:rPr>
        <w:t xml:space="preserve">3</w:t>
      </w:r>
      <w:r>
        <w:rPr>
          <w:i/>
        </w:rPr>
        <w:t xml:space="preserve"> для должностных лиц»,</w:t>
      </w:r>
      <w:r>
        <w:t xml:space="preserve"> - прокомментировал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Пункта 2 части 1 статьи 11 Закона о защите конкуренции. В соответствии с пунктом 2 части 1 статьи 11 Закона о защите конкуренции, признается картелем и запрещается соглашение между хозяйствующими субъектами-конкурентами, т.е.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картельный сговор на торгах предусмотрена частью 2 статьи 14.32 Кодекса об административных правонарушениях и влечет наложение штрафа в размере до 50 % от начальной стоимости предмета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соответствии со статьей 178 Уголовного кодекса Российской Федерации ограничение конкуренции путем заключения хозяйствующими субъектами-конкурентами ограничивающего конкуренцию соглашения (картеля), если эти деяния причинили крупный ущерб гражданам, организациям или государству либо повлекли извлечение дохода в крупном размере – наказываются, в том числе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