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2019 году земельные торги в Московской области были переведены в электронный формат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мая 2020, 14:31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Московское областное УФАС возглавило список лучших достижений территориальный органов в 2019 году, утверждаемых Президиумом ФАС России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инициативе Московского областного УФАС России, торги, проводимые в соответствии с Земельным кодексом Российской Федерации, были переведены в электронную форму. До 2019 года земельные торги оставались в Московской области последним видом коммерческих торгов, не переведенных в форму электронных аукционов.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Это стало возможным благодаря последовательной проконкурентной политике Губернатора Московской области и Правительства Московской области по реализации Национального плана развития конкуренции в Российской Федерации на 2018 – 2020 годы, утвержденного Указом Президента Российской Федерации от 21.12.2017 № 618.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отметила заместитель начальника Управления контроля строительства и природных ресурсов ФАС России Оксана Малая,</w:t>
      </w:r>
      <w:r>
        <w:rPr>
          <w:i/>
        </w:rPr>
        <w:t xml:space="preserve"> отказ от бумажного формата позволил обеспечить прозрачность проведения торгов, эффективнее распоряжаться имуществом и снизил возможности сговора на торгах.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cо II квартала 2019 года 100% таких торгов проводится в форме электронных аукционов. Благодаря переходу на электронный вид, увеличился уровень реализации коммерческих земельных участков по сравнению с «молоточными» процедурами.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Сократилось количество торгов с единственным участником. Если в 2018 году 51% торгов прошел с единственным участником, то в 2019 – только 36,7%.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Увеличился средний показатель повышения начальной цены торгов, он составил в 2019 году 114% против 109,9% в 2018 году.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сократилось количество «непрозрачных процедур» (вскрытие конвертов с заявками на участие в аукционах, их прием, хранение), сократились возможности сговора на торгах.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«Перевод земельных торгов в Московской области в электронный вид, позволил увеличить количество участников на них, сделал их более доступными и открытыми. Это хорошая инициатива, направленная на предупреждение нарушения антимонопольного законодательства и развитие торговых процедур»,</w:t>
      </w:r>
      <w:r>
        <w:t xml:space="preserve"> - подчеркнул начальник Управления контроля строительства и природных ресурсов ФАС России Олег Корнеев.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