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 очередной сговор при реализации нацпроекта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2020,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Ограничивающее конкуренцию соглашение заключили ООО «АртСтрой – 21 век» и Комитет по здравоохранению Псковской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ООО «АртСтрой – 21 век» и Комитет по здравоохранению Псковской области нарушившими Закон о защите конкуренции при проведении торгов по поставке модульных фельдшерско-акушерских пунктов (ФАПов).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Финансирование государственного контракта на сумму более 110 млн рублей осуществлялось из бюджета национального проекта «Здравоохранение».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Региональное УФАС провело проверку, в ходе которой обнаружило свидетельства о согласовании положений технической документации еще до опубликования извещения об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Псковским УФАС направлено заявление в правоохранительные органы о выявленном нарушении для принятия процессуального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примеры заключения ограничивающих конкуренцию соглашений на поставку ФАПов были выявлены также в Иркутской, Ленинградской, Московской и Тверской областях, а также в Республике Хакассия.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«Сговоры по поставке медицинского оборудования, в том числе ФАПов, занимают одну из лидирующих позиций в антимонопольной практике. Это дело еще раз показало, что компании не брезгуют покушаться на государственные деньги, выделенные для реализации национальных проектов. Лица, нарушившие антимонопольное законодательство, будут привлечены к административной ответственности»,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