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повторно подтвердил законность решения ФАС России в отношении «Фирмы «Аква-Дон»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2020, 16:17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выпускала воду «СЕРЕБРИСТАЯ нега» в упаковке, похожей на оформление продукции ООО «БЫСТРА»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июня 2020 года Арбитражный суд города Москвы своим решением вновь подтвердил законность и обоснованность решения Комиссии ФАС России о нарушении антимонопольного законодательства ООО «Фирма «Аква-Дон».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в июне 2018 года признала
        </w:t>
        </w:r>
      </w:hyperlink>
      <w:r>
        <w:t xml:space="preserve"> введение компанией в гражданский оборот питьевой воды «СЕРЕБРИСТАЯ нега» актом недобросовестной конкуренции[1]: упаковка воды имитировала упаковку питьевой воды «Серебряная Усть-Быстра» и «Серебряная Усть-Быстра Газированная» производства ООО «БЫСТРА».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ведомства, ООО «Фирма «Аква-Дон» оспорила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2019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Арбитражный суд города Москвы,
        </w:t>
        </w:r>
      </w:hyperlink>
      <w:r>
        <w:t xml:space="preserve"> а в апреле 2019 года и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 Девятый арбитражный апелляционный суд
        </w:t>
        </w:r>
      </w:hyperlink>
      <w:r>
        <w:t xml:space="preserve"> подтвердили законность и обоснованность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августе 2019 года Cуд по интеллектуальным правам отменил решения предыдущих инстанций в части отказа в возбуждении и рассмотрении дела по признакам нарушения пункта 1 статьи 14.6 Закона о защите конкуренции в отношении товара «СЕРЕБРИСТАЯ нега», ранее отказавших в признании решения, предписания Федеральной антимонопольной службы[2]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части спорное дело было направлено на новое рассмотрение в Арбитражный суд города Москвы. Важно отметить, что в остальной части решение и постановление арбитражной и апелляционной инстанций были оставлены без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новом рассмотрении Арбитражный суд города Москвы повторно подтвердил законность и обоснованность решения Комиссии ФАС России[3] о нарушении ООО «Фирма «Аква-Дон»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2 статьи 14.6 ФЗ «О защите конкуренции»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копирование или имитация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противоречащим пункту 2 статьи 14.6 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23.07.2018 по делу № 1-14-115/00-08-17 недействительными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от 24.07.2018 по делу № 1-14-115/00-08-17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236" TargetMode="External" Id="rId8"/>
  <Relationship Type="http://schemas.openxmlformats.org/officeDocument/2006/relationships/hyperlink" Target="https://fas.gov.ru/news/26816" TargetMode="External" Id="rId9"/>
  <Relationship Type="http://schemas.openxmlformats.org/officeDocument/2006/relationships/hyperlink" Target="https://fas.gov.ru/news/27335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