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Пандемия научила нас экономии ресурсов и эффективности решений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2020,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этих условиях предпочтение отдается превентивным мерам и ускоренным процедурам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влиянии пандемии на проведение картельных проверок рассказал начальник Управления по борьбе с картелями ФАС России Андрей Тенишев на конференции «Антимонопольное право: новые вызовы пандемии».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количество проверок в период пандемии увеличилось, и их число будет возрастать, поскольку количество органов, имеющих право инициировать проверки соблюдения антимонопольного законодательства, кратно возросло.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 стороны других контролирующих органов проверок стало гораздо меньше, у антимонопольной службы их прибавилось, – </w:t>
      </w:r>
      <w:r>
        <w:t xml:space="preserve">пояснил Андрей Тенишев.</w:t>
      </w:r>
      <w:r>
        <w:rPr>
          <w:i/>
        </w:rPr>
        <w:t xml:space="preserve"> – Кроме того, часть предприятий перешла на удаленный режим работы, было ограничено передвижение, что усложняло нашу работу. Но мы справились – предотвратили взрывной рост цен и создание дефицита на товарных рынках вследствие картельных соглашений».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[photo_1622]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подчеркнул, что в условиях пандемии антимонопольное ведомство сделало акцент на превентивных мерах – более востребованными оказались институты предостережения и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«События развивались стремительно, возник ажиотажный спрос на продукты, некоторые «эксперты» своими высказываниями создавали панику на рынке и искусственный дефицит. В таких условиях важнее было предупредить нарушение и недопустить роста цен вследствие нарушений антимонопольного законодательства»</w:t>
      </w:r>
      <w:r>
        <w:t xml:space="preserve">, - сказал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необходимо совершенствовать антимонопольный процесс: расширить основания применения института предупреждения, ввести сокращенные процедуры рассмотрения антимонопольных дел, в случаях, когда нарушение очевидно, а компании признали его и устранили последствия. Дублирующие друг друга антимонопольные и административные процедуры стоит объединить, сохранив необходимый уровень процессуальных гарантий. Это позволит сократить процессуальные издержки и бизнеса, и государства»,</w:t>
      </w:r>
      <w:r>
        <w:t xml:space="preserve">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[video_2775]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