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Законопроект ФАС России о внесении поправок в 57-ФЗ принят в первом чтении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2020, 16:16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Государственная Дума ФС РФ одобрила проект федерального закона, подготовленного антимонопольной службой, об исключении возможных злоупотреблений при временной передаче иностранными инвесторами прав распоряжения голосующими акциями (долями) стратегических хозяйственных обществ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июля 2020 года на пленарном заседании Госдумы РФ проект поправок к 57-ФЗ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представил заместитель руководителя ФАС России Андрей Цыганов. Он пояснил, что законопроект разработан во исполнение поручения Правительственной комиссии по контролю за осуществлением иностранных инвестиций в Российской Федерации и направлен на устранение выявленной в ходе правоприменения правовой неопределенности и исключение возможных способов «обхода» требований 57-ФЗ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Речь идет о передаче иностранными инвесторами прав распоряжения голосующими акциями (долями) стратегических компаний иным лицам с тем, чтобы при определении факта наличия или отсутствия контроля иностранного инвестора этот объем прав не учитывался.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«Предложенные поправки вносят изменения в понятия «контроль иностранного инвестора»</w:t>
      </w:r>
      <w:r>
        <w:rPr>
          <w:i/>
        </w:rPr>
        <w:t xml:space="preserve">3</w:t>
      </w:r>
      <w:r>
        <w:rPr>
          <w:i/>
        </w:rPr>
        <w:t xml:space="preserve">, «признаки контроля»</w:t>
      </w:r>
      <w:r>
        <w:rPr>
          <w:i/>
        </w:rPr>
        <w:t xml:space="preserve">4</w:t>
      </w:r>
      <w:r>
        <w:rPr>
          <w:i/>
        </w:rPr>
        <w:t xml:space="preserve">, а также в статью 7 57-ФЗ, содержащую категории сделок иностранных инвесторов в отношении российских стратегических обществ, которые подлежат обязательному согласованию Правительственной комиссией. При расчете доли участия иностранного инвестора в стратегическом обществе будет учитываться весь объем прав по принадлежащим ему как собственнику акциям (долям) стратегического общества. Так, учитываться будут и корпоративные права, например, права на голосование, которые на время переданы иному лицу»,</w:t>
      </w:r>
      <w:r>
        <w:t xml:space="preserve"> - подчеркнул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Положения законопроекта не вводят каких-либо новых правил для применения корпоративного законодательства в целом, они будут использоваться исключительно для целей применения 57-ФЗ и позволят повысить уровень экономической безопасности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Примечания: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№ 946057-7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 изменениями и дополнениями)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статья 3 Закона № 57-ФЗ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статья 5 Закона № 57-ФЗ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