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в первом чтении административную ответственность заказчика за срыв сроков оплаты по договорам с субъектами МСП по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2020, 17:54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разработан в поддержку субъектов МСП и во исполнение положений Национального проекта «Малое и среднее предпринимательство и поддержка индивидуальной предпринимательской инициативы»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Документ предусматривает административную ответственность за нарушение заказчиком срока оплаты товаров, работ, услуг по договору, заключенному в рамках 223-ФЗ, с субъектом малого или среднего предпринимательства. С 1 января 2020 года срок оплаты по договору не может превышать 15 рабочих дней</w:t>
      </w:r>
      <w:r>
        <w:t xml:space="preserve">»,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нарушения сроков оплаты штраф для должностного лица составит от 30 000 до 50 000 рублей; для юридических лиц - от 50 000 до 100 000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Ответив на вопросы депутатов, Михаил Евраев, подытожил, что предложения по доработке законопроекта будут учтены ко второму чтению.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[video_2824]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