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Тывинское УФАС России выдало предупреждение республиканскому Минсельхозу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Органу власти надлежит прекратить нарушение антимонопольного законодательства и предоставить сельхозтоваропроизводителям равный доступ к информации о господдержке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Республиканское министерство сельского хозяйства не разместило на своем официальном сайте информацию о порядке предоставления субсидий на финансовое обеспечение части затрат на агротехнические работы</w:t>
      </w:r>
      <w:r>
        <w:t xml:space="preserve">1</w:t>
      </w:r>
      <w:r>
        <w:t xml:space="preserve"> и тем самым создало неравные условия доступа сельхозтоваропроизводителей к мерам государственной поддержки.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Неравенство условий возникло в том числе из-за отсутствия сведений о сроках приема заявлений, перечне необходимых документов, информации о возможности устранения выявленных в документах нарушений при предоставлении субсидии.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«Региональные власти, не информируя всех заинтересованных лиц о порядке предоставления мер государственной поддержки, лишают хозяйствующих субъектов равного доступа на товарный рынок, предоставляя его отдельным участникам более выгодные условия за счет субсидий. В результате такого бездействия для сельхозтоваропроизводителей создаются дискриминационные условия»</w:t>
      </w:r>
      <w:r>
        <w:t xml:space="preserve">, - заявила начальник Управления контроля агропромышленного комплекса ФАС России Лариса Вовкивская.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«Субсидии предоставляются хозсубъектам для компенсации затрат, понесенными при осуществлении предпринимательской деятельности. Органам государственной власти необходимо доводить информацию до заинтересованных лиц о порядке их предоставления, чтобы обеспечивать предпринимателям равный доступ к государственной поддержке. Этот фактор влияет как на конкуренцию, так и на конкурентоспособность на рынке сельскохозяйственной продукции, в том числе на ее конечную стоимость»</w:t>
      </w:r>
      <w:r>
        <w:t xml:space="preserve">, - отметил руководитель Тывинского УФАС России Феликс Хаджиев.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Примечание:</w:t>
      </w:r>
      <w:r>
        <w:br/>
      </w:r>
      <w:r>
        <w:t xml:space="preserve">1 </w:t>
      </w:r>
      <w:r>
        <w:t xml:space="preserve">На поддержку элитного семеноводства, на проведение комплекса агротехнических работ и повышение плодородия и качества почв в 2020 году, а также на приобретение семян кормовых культур, поставляемых в районы Крайнего Севера и приравненные к ним местности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