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обнаружила нарушения при запросе предложений на строительство гидроузла на р. Дон стоимостью 21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августа 2020, 09:50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Нарушения были допущены в проекте госконтракта, его обеспечении, условиях страхового договора и в типовых условиях контракта на строительство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рассмотрела жалобу строительно-производственной фирмы «РостСтройКонтракт» на действия Росморречфлота и Администрации Азово-Донского бассейна внутренних водных путей при проведении запроса предложений на строительство Багаевского гидроузла на р. Дон с ценой контракта порядка 21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было установлено заказчик и уполномоченный орган ненадлежащим образом оформили в проекте госконтракта положения об антидемпинговых мерах, размер обеспечения исполнения контракта, условия заключения договора страхования объекта строительства, а также типовые условия, утвержденные приказом Минстроя Росси № 9/пр*.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Жалоба была признана обоснованной, однако ввиду того, что не было подано ни одного предложения, предписание об устранении выявленных нарушений не выдавалось.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Приказ Министерства строительства и жилищно-коммунального хозяйства Российской Федерации от 14.01.2020 г. № 9/пр «Об утверждении Типовых условий контрактов на выполнение работ по строительству (реконструкции) объекта капитального строительства и информационной карты типовых условий контракта».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