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напоминает о необходимости своевременной и корректной регистрации внебиржевых сделок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2020, 10:10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Обязанность регистрации внебиржевых договоров по поставкам угля, нефти и нефтепродуктов, сжиженных углеводородных газов и зерна закреплена Постановлением Правительства Российской Федерации[1]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 сожалению, мы констатируем плохое качество регистрации внебиржевых договоров, что выражается в неполном заполнении компаниями соответствующих граф. На это указывает проведенный анализ за период март-август 2020 года. Шаблонные ошибки повсеместны – не указываются реквизиты договоров, допсоглашений, уникальный идентификационный номер товарной позиции и т.д. Незаполненные графы означают неисполнение обязанности, а это административное нарушение[2]</w:t>
      </w:r>
      <w:r>
        <w:t xml:space="preserve">», - отметил начальник Управления регулирования топливно-энергетического комплекса и химической промышленности ФАС России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Ликвидные внебиржевые индексы цен на товары формируются на основе данных регистрации внебиржевых договоров. В свою очередь, ФАС России в рамках Биржевого комитета на постоянной основе рассматривает текущие биржевые и внебиржевые индексы цен на товары и совершенствует методики формирования индексов цен. Они применяются для анализа эффективности закупок субъектов естественных монополий, антимонопольного контроля, используются при расчете компенсаций выпадающих доходов у субъектов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постоянно ведем работу по разъяснению нефтегазовым и угольным компаниям их ошибок, в том числе в рамках заседаний Биржевого комитета. Целесообразно и хозсубъектам внедрять внутреннюю систему контроля качества исполнения указанных обязанностей</w:t>
      </w:r>
      <w:r>
        <w:t xml:space="preserve">», - добавил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Индексы цен публикуются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 Санкт-Петербургской международной товарно-сырьевой биржи (АО «СПбМТСБ»).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сайте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ФАС России
        </w:t>
        </w:r>
      </w:hyperlink>
      <w:r>
        <w:t xml:space="preserve"> и на сайте СПбМТСБ размещены рекомендации по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регистрации
        </w:t>
        </w:r>
      </w:hyperlink>
      <w:r>
        <w:t xml:space="preserve"> внебиржевых договоров.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Постановление Правительства РФ от 23.07.2013 № 623 «Об утверждении Положения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Согласно части 6 статьи 14.24 Кодекса Российской Федерации об административных правонарушениях.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spimex.com/" TargetMode="External" Id="rId8"/>
  <Relationship Type="http://schemas.openxmlformats.org/officeDocument/2006/relationships/hyperlink" Target="https://fas.gov.ru/documents/562809" TargetMode="External" Id="rId9"/>
  <Relationship Type="http://schemas.openxmlformats.org/officeDocument/2006/relationships/hyperlink" Target="https://spimex.com/upload/iblock/864/864ac31d6cf450cd8ba8323e76027ba2.pdf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