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требует от «Росбанка» надлежащего информирования клиентов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августа 2020, 17:10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выдало банку предупреждение по признакам нарушения Закона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поступили материалы Банка России, которые указывают на признаки недобросовестного поведения ПАО «Росбанк» при информировании потребителей об условиях бесплатного обслуживания пакета банковских услуг «Золотой» и других пакетов[1].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 из условий бесплатного обслуживания пакетов услуг – это поддержание определенных среднемесячных остатков средств клиента на счетах в банке. При этом для разных пакетов услуг условие о видах счетов, остатки на которых учитываются, отличается.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ноября 2018 г. условие о нулевой комиссии по ряду пакетов услуг распространялось только на остатки на «Счетах» и «Сберегательных счетах». С начала 2019 г. к этому перечню был добавлен термин «Счета срочных вкладов».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потребители получили возможность повысить доходность от размещения собственных средств в банке при одновременном бесплатном обслуживании пакета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Улучшенные условия «Росбанк» применял только для новых клиентов, однако потребителей о таком решении надлежащим образом не проинформировал.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размещенных на сайте и в личных кабинетах сведений действующих клиенты банка могли ошибочно посчитать, что размещение средств на счетах срочных вкладов сохранит им бесплатное обслуживание, и, соответственно, принять решение о переводе средств на вклады, исходя из более привлекательного процента. В результате такие клиенты были вынуждены оплатить комиссию за обслуживание.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сохранения бесплатного обслуживания в «Росбанке» или перехода в другую кредитную организацию им надо было бы возвращать денежные средства на другие счета и расторгать договоры срочных вкладов, что предполагает потерю процентного дохода, ожидаемого от размещения средств во вклады.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в действиях ПАО «Росбанк», выразившихся во введении в заблуждение потребителей, ФАС России выявила признаки нарушения Закона о защите конкуренции[2].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«Анализ банковских документов показал, что банк предусмотрел для себя возможность свободной трактовки отдельных противоречивых положений при принятии решения о распространении или нераспространении новых условий на действующих клиентов», – </w:t>
      </w:r>
      <w:r>
        <w:t xml:space="preserve">пояснила начальник Управления контроля финансовых рынков ФАС России Ольга Сергеева.</w:t>
      </w:r>
      <w:r>
        <w:rPr>
          <w:i/>
        </w:rPr>
        <w:t xml:space="preserve"> – Потребителей могло вводить в заблуждение отсутствие не только доступной информации, но и прозрачной терминологии в договорах, на сайте банка и в личных кабинетах клиентов: термины «Счет», «Сберегательный счет» и «Счет срочного вклада» по-разному используются в разных документах банка».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выданным предупреждением банк должен: раскрыть на сайте полные условия обслуживания пакетов банковских услуг[3]; внести изменения в типовые формы документов и в тарифы, направленные в том числе на единообразное закрепление используемых терминов; довести всю эту информацию до клиентов банка.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Предупреждение подлежит исполнению в течение 30 календарных дней с момента его получения банком.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статье 14.2 Закона о защите конкуренции не допускается недобросовестная конкуренция путем введения в заблуждение, в том числе в отношении: качества и потребительских свойств товара, предлагаемого к продаже, назначения такого товара, способов и условий его изготовления или применения, результатов, ожидаемых от использования такого товара, его пригодности для определенных целей; количества товара, предлагаемого к продаже, наличия такого товара на рынке, возможности его приобретения на определенных условиях, фактического размера спроса на такой товар; места производства товара, предлагаемого к продаже, изготовителя такого товара, гарантийных обязательств продавца или изготовителя; условий, на которых товар предлагается к продаже, в частности цены такого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39.1 Закона о защите конкуренции предупреждение подлежит обязательному рассмотрению лицом, которому оно выдано, в срок, указанный в предупреждении.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ПБУ «Классический», «Золотой», «Сверхкарта+», «Автокарта», «Travel карта»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статьи 14.2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ПБУ «Классический», «Золотой», «Сверхкарта+», «Автокарта», «Travel карта»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