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областное УФАС России отмечает рост количества нарушений антимонопольного законодательства в связи с пандемией COVID-19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2020,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Такой вывод озвучили сотрудники антимонопольной службы, обсуждая результаты правоприменительной практики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Состоялись публичные обсуждения результатов правоприменительной практики ФАС России и Московского областного УФАС России за 3 квартал 2020 года. Мероприятие прошло в формате прямой трансляции.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обсудили практику применения антимонопольного законодательства в сфере закупок, рекламы и недобросовестной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Временно исполняющий обязанности руководителя Московского областного УФАС России Сергей Муравьев рассказал о судебной практике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пользу антимонопольного органа было вынесено 148 судебных решений. 10 были отрицательными. Большинство дел связаны с закупками и нарушением антимонопольного законодательства, оставшаяся часть приходится на рекламу. Специфика третьего квартала - двукратный рост количества дел, но на это есть объективная причина – в период карантина рассмотрение дел в судах откладывалось», - отметил Сергей Муравьев.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правоприменительной практике ведомства в сфере госзаказа на публичных обсуждениях рассказала начальник отдела методологии и взаимодействия с территориальными органами ФАС России Екатерина Дубовкина.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Александра Нестерова, заместитель начальника управления контроля финансовых рынков ФАС России представила опыт ведомства по противодействую недобросовестной конкуренции на рынке банковских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начала 2020 года на рынке банковских услуг увеличилось количество обращений и проверок. За это время было выдано 12 предупреждений о необходимости прекращения действий, содержащих признаки нарушения антимонопольного законодательства. Чаще всего фиксируется нарушение статей 14.2 и 14.8 Закона о защите конкуренции», - сообщила Александра Нестерова.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пояснила, что банки нарушают правила, в том числе не предоставляя полную информацию об отдельных условиях своих продуктов, некорректно сравнивают свои услуги с конкурентами и тем самым создают впечатление о своем превосходстве. В этом году были выявлены случаи, когда кредитные организации, используя наличие в уставном капитале государственного участия, выставляли его как фактор надежности.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уделяет пристальное внимание поведению кредитных организаций в ситуации пандемии коронавирусной инфекции. В настоящее время отмечены значительные риски недобросовестного поведения кредитных организаций на рынке, чтобы удержать клиентов и привлечь новых, например, путем объявления различных программ, но не раскрывая их условий до конца или не выполняя заявленных условий», - заключила Александра Нестерова.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Полную версию публичных слушаний можно посмотреть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youtu.be/z3O1Hqa69TA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