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Дерегулирование тарифов в сфере транспорта простимулирует компании повысить качество обслуживания пассажиров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2020,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Вывод ведомства содержится в ежегодном Докладе о состоянии конкуренции в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Водный транспорт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был дерегулирован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ряд услуг, оказываемых в морских и речных портах, а также услуг по использованию инфраструктуры внутренних водных путей. Внесенные изменения могут положительно сказаться на условиях привлечения частного капитала в инвестиционные проекты по развитию портовых мощностей.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Совместно с Минтрансом России антимонопольный орган продолжит работу по переориентации грузов на российские порты, развитию конкуренции между портами, созданию условий к модернизации морских портов, при одновременном недопущении недобросовестной конкуренции за счёт занижения отдельными операторами экологических норм.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Воздушный транспорт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продолжает работу по дерегулированию тарифов на услуги в аэропортах, оказываемые при выполнении полетов на международных воздушных линиях, а также на услуги по обеспечению заправки воздушных судов и хранению авиационного топлива, кроме организаций, оказывающих услуги в ДФО и СФО. Также прорабатываются меры поддержки авиакомпаниям и аэропортам в период санитарно-эпидемиологических ограничений.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продолжит работу по развитию конкуренции в этой сфере через контроль над соблюдением предписаний, выданных крупнейшим аэропортам страны в рамках контроля за экономической концентрацией. Речь идет о недопущении создания условий, которые ставят в неравное положение одного оператора по сравнению с другим, о предоставлении права доступа к инфраструктуре аэропорта любому оператору/потребителю услуг и проведении в отношении них единой ценовой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продолжает мониторинг цен на авиабилеты в целях создания базы данных для работы территориальных антимонопольных органов. Такая работа заключается в недопущении необоснованного роста цен, а также в проработке мер поддержки авиакомпаний, в том числе за счёт недискриминационного доступа к международным маршрутам после окончания ограничений и восстановления спроса на авиаперелеты.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Железнодорожный транспорт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сфере железнодорожного транспорта в 2019 году обеспечены равные экономические условия для перевозки грузов и пассажиров из/в Республики Крым, Севастополя и в другие регионы Российской Федерации по единому тарифному прейскуранту на соответствующие расстояния.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Реализуются поправки в тарифные решения. Они предусматривают скидки на грузоперевозки в период кризиса для поддержания объёмов грузоперевозок и последующие механизмы компенсации таких скидок.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Продолжается работа по выработке предложений в части прекращения государственного регулирования тарифов в соответствии с законодательством о естественных монополиях в отношении перевозок пассажиров и багажа железнодорожным транспортом общего пользования в дальнем следовании.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Планируется сохранить госрегулирование тарифов на проезд детей по льготным билетам в поездах дальнего следования и дерегулировать остальные сегменты конкурентного рынка перевозки пассажиров. Это позволит стимулировать компании повысить качество обслуживания пассажиров, обновить подвижной состав и использовать гибкую ценовую политику, ориентированную на спрос, в том числе в лоукост-сегменте.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Автомобильный транспорт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Региональные программы модернизации общественного транспорта должны базироваться на оптимизации маршрутной сети и измерении динамики показателей качества услуг и удовлетворенности пассажиров. Решение вопросов организации перевозок должно обеспечиваться органами власти, но не может быть передано какому-либо участнику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необходимо обеспечить равный доступ всех участников рынка к мерам господдержки, а не только унитарных предприятий или акционерных обществ с участием в капитале муниципалитета или субъекта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Восстановление отрасли после снижения пассажиропотока в связи с COVID-19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Транспортная отрасль оказалась одной из наиболее пострадавших в связи с ситуацией с коронавирусом и ограничениями, введенными в целях недопущения распространения инфекции. В марте – апреле 2020 года объемы пассажирских перевозок сократились на всех видах транспорта до 90%.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Территориальные управления ФАС России ориентированы на выявление и пресечение случаев проведения реформы организации городского транспорта с нарушением требований антимонопольного законодательства. В том числе в ходе отбора перевозчиков, выбора поставщиков автотранспорта и лизинговых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ФАС, в условиях пандемии COVID-19 и снижения пассажиропотока целесообразно обеспечить поддержку наиболее социально значимым видам транспорта, прежде всего городскому общественному и пригородному железнодорожному транспорту. При этом важно сохранить интенсивность движения и тарифы на докризисном уровне при одновременном сохранении темпов обновления подвижного состава.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снятия ограничений на передвижение граждан и восстановления спроса на транспортные услуги ФАС России совместно с территориальными управлениями будет отслеживать изменения на рынках, оценивать экономическую концентрацию субъектов и продолжит мониторинг цен и тарифов в интересах развития конкуренции и повышения качества транспортных услуг для экономики и пассажиров.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 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постановлением Правительства Российской Федерации от 27 декабря 2019 г. № 1923 «О внесении изменений в некоторые акты Правительства Российской Федерации, касающиеся государственного регулирования цен (тарифов, сборов) на услуги субъектов естественных монополий в портах и услуги по использованию инфраструктуры внутренних водных путей»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