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совершенствовать законодательство в сфере газоснабжения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17:41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сессии 5-го юбилейного Всероссийского семинара-совещания по тарифному регулированию участники обсудили перспективные направления в сфере газоснабжения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транспортировки газа Управления регулирования топливно-энергетического комплекса и химической промышленности ФАС России Фатима Абаева выступила с докладом о регулировании газовой отрасли. По ее словам, в этой сфере еще есть нерешенные вопросы, которые обсуждаются на мероприятиях ФАС не первый год, в том числе перекрестное субсидирование в тарифах газораспределительных организаций (ГРО).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ФАС России считает тарифную кампанию 2020 года весьма успешной.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рассмотрели все тарифные заявления, которые касались транспортировки газа по газораспределительным сетям, в том числе нам удалось заключить регуляторные контракты, это позволит реализовать в регионах в полной мере мероприятия по газификации. Мы несколько задержали решения по оптовой цене, но это была вынужденная мера, связанная с новой коронавирусной инфекцией COVID-19. Мы понимаем, что в этом году регуляторы столкнулись со сложностями, поэтому внесем соответствующие изменения в законодательство</w:t>
      </w:r>
      <w:r>
        <w:t xml:space="preserve">», - отметила Фатима Абаева.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начальник отдела газовой промышленности Управления регулирования топливно-энергетического комплекса и химической промышленности Илья Мамин рассказал о ключевых изменениях законодательства о газоснабжении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во исполнение «дорожной карты» «Трансформация делового климата» Правительством РФ было принято постановление № 305 от 19.03.2020, которое внесло ряд изменений в Правила поставки для бытовых нужд граждан, Правила подключения к сетям газораспределения, Правила пользования газом. Основные положения формирования и государственного регулирования цен на газ и сыграли существенную роль в ведении региональными регуляторами своей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Первое, что ФАС необходимо было сделать во исполнение «дорожной карты», это сократить срок подключения для заявителей 1 категории до 8 месяцев, предусмотреть «принцип одного окна», то есть создать возможность заявителю заключать договор поставки газа и технического обслуживания на этапе заключения договора о технологическом присоединении, а также снизить стоимость подключения путем сокращения критериев индивидуального проекта. Мы внесли соответствующие изменения в ряд нормативно-правовых актов</w:t>
      </w:r>
      <w:r>
        <w:t xml:space="preserve">», - отметил Илья Мамин.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выдвинула предложение об усовершенствовании пункта 112 Правил подключения и предусмотрела ситуацию, что право на строительство инфраструктуры за границами земельного участка заявителя появляется тогда, когда он соответствует любому из критериев индивидуального проекта. Помимо этого, с марта 2020 года все ГРО могут подавать документы об установлении индивидуального проекта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[photo_1681]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Постановлению Правительства РФ № 702 от 16.05.2020, расширился перечень направлений использования средств, привлекаемых за счет специальной надбавки (регистрация сетей, ранее являвшихся бесхозяйными), увеличился предел среднего размера специальной надбавки до 35%, появилась возможность установления среднего размера специальной надбавки свыше 35% по согласованию с ФАС России до 2023 года (после этого срока отменяется совсем).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Ильи Мамина, 9 октября в Правительство РФ был внесен проект постановления «Об утверждении типовых форм документов, необходимых для подключения к сетям газораспределения», который разрабатывался в течение последних 3 лет. Согласно документу, предложено ввести новые типовые формы документов, которые отражают действующий порядок технологического присоединения, определить порядок проведения мониторинга выполнения заявителем технических условий, а также предусмотреть минимальные технические требования к строительству газопроводов и размещению газового оборудования заявителями.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</w:t>
      </w:r>
      <w:r>
        <w:rPr>
          <w:i/>
        </w:rPr>
        <w:t xml:space="preserve">ти изменения позволят оптимизировать порядок подключения, повысить безопасность использования газоиспользующего оборудования, а также исключить возможные злоупотребления со стороны газораспределительных организаций</w:t>
      </w:r>
      <w:r>
        <w:t xml:space="preserve">», -отметил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Фатима Абаева привела динамику изменения оптовых цен за сжиженный газ (СУГ). По данным АО «СПбМТСБ», объем биржевых торгов СУГ для бытовых нужд и автотранспорта с января по октябрь 2020 года составил 688 тыс. тонн (+6% к показателю аналогичного периода 2019 года). Количество заключенных на бирже договоров увеличилось на 59% и составило более 15 тыс.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Увеличение приведенных показателей позволяет сделать вывод о достаточности объемов производства и потребления СУГ для гарантии обеспеченности страны топливными ресурсами</w:t>
      </w:r>
      <w:r>
        <w:t xml:space="preserve">», - отметила спикер.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