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Васильев: ФАС России завершает работу над стратегически важными для электроэнергетики документами на 2021 год</w:t>
      </w:r>
    </w:p>
    <w:p xmlns:w="http://schemas.openxmlformats.org/wordprocessingml/2006/main" xmlns:pkg="http://schemas.microsoft.com/office/2006/xmlPackage" xmlns:str="http://exslt.org/strings" xmlns:fn="http://www.w3.org/2005/xpath-functions">
      <w:r>
        <w:t xml:space="preserve">19 октября 2020, 16:56</w:t>
      </w:r>
    </w:p>
    <w:p xmlns:w="http://schemas.openxmlformats.org/wordprocessingml/2006/main" xmlns:pkg="http://schemas.microsoft.com/office/2006/xmlPackage" xmlns:str="http://exslt.org/strings" xmlns:fn="http://www.w3.org/2005/xpath-functions">
      <w:pPr>
        <w:jc w:val="both"/>
      </w:pPr>
      <w:r>
        <w:rPr>
          <w:i/>
        </w:rPr>
        <w:t xml:space="preserve">Сводный прогнозный баланс электрической энергии и мощности по субъектам Российской Федерации и предельных уровней цен (тарифов) на услуги по передаче электрической энергии планируется утвердить в октябре-ноябре 2020 года</w:t>
      </w:r>
      <w:r>
        <w:br/>
      </w:r>
      <w:r>
        <w:br/>
      </w:r>
      <w:r>
        <w:t xml:space="preserve">
Динамика электропотребления по субъектам Российской Федерации, его структура, а также объем производства и поставок электрической энергии (мощности) стали главной темой совещания представителей ФАС России с региональными регуляторами по вопросу формирования сводного прогнозного баланса электрической энергии на 2021 год в рамках 5-го юбилейного Всероссийского тарифного семинара-совещания.</w:t>
      </w:r>
      <w:r>
        <w:br/>
      </w:r>
      <w:r>
        <w:br/>
      </w:r>
      <w:r>
        <w:t xml:space="preserve">
В ходе совещания был представлен проект Сводного прогнозного баланса электрической энергии и мощности по субъектам Российской Федерации на 2021 год, после чего региональные органы регулирования и регулируемые организации в режиме открытого микрофона высказали свои замечания и предложения к документу.</w:t>
      </w:r>
      <w:r>
        <w:br/>
      </w:r>
      <w:r>
        <w:br/>
      </w:r>
      <w:r>
        <w:t xml:space="preserve">
Начальник Управления регулирования электроэнергетики ФАС России Дмитрий Васильев отметил, что структура электропотребления по федеральным округам в 2021 году существенно не изменится.</w:t>
      </w:r>
    </w:p>
    <w:p xmlns:w="http://schemas.openxmlformats.org/wordprocessingml/2006/main" xmlns:pkg="http://schemas.microsoft.com/office/2006/xmlPackage" xmlns:str="http://exslt.org/strings" xmlns:fn="http://www.w3.org/2005/xpath-functions">
      <w:pPr>
        <w:jc w:val="both"/>
      </w:pPr>
      <w:r>
        <w:rPr>
          <w:i/>
        </w:rPr>
        <w:t xml:space="preserve">«Лидирует по-прежнему Центральный федеральный округ с 25%, на втором месте - Cибирский федеральный округ с 18%, cразу за ним идут Приволжский федеральный округ с 17% и Уральский федеральный округ с 16%»</w:t>
      </w:r>
      <w:r>
        <w:t xml:space="preserve">, - рассказал он.</w:t>
      </w:r>
    </w:p>
    <w:p xmlns:w="http://schemas.openxmlformats.org/wordprocessingml/2006/main" xmlns:pkg="http://schemas.microsoft.com/office/2006/xmlPackage" xmlns:str="http://exslt.org/strings" xmlns:fn="http://www.w3.org/2005/xpath-functions">
      <w:pPr>
        <w:jc w:val="both"/>
      </w:pPr>
      <w:r>
        <w:t xml:space="preserve">Сводный прогнозный баланс электрической энергии и мощности является основополагающим документом для утверждения всех тарифов в сфере электроэнергетики. При его формировании и утверждении ФАС России помимо предложений региональных органов регулирования учитывает также позиции инфраструктурных организаций, Минэкономразвития России, Минэнерго России и регулируемых организаций.</w:t>
      </w:r>
    </w:p>
    <w:p xmlns:w="http://schemas.openxmlformats.org/wordprocessingml/2006/main" xmlns:pkg="http://schemas.microsoft.com/office/2006/xmlPackage" xmlns:str="http://exslt.org/strings" xmlns:fn="http://www.w3.org/2005/xpath-functions">
      <w:pPr>
        <w:jc w:val="both"/>
      </w:pPr>
      <w:r>
        <w:rPr>
          <w:i/>
        </w:rPr>
        <w:t xml:space="preserve">[photo_1696]</w:t>
      </w:r>
    </w:p>
    <w:p xmlns:w="http://schemas.openxmlformats.org/wordprocessingml/2006/main" xmlns:pkg="http://schemas.microsoft.com/office/2006/xmlPackage" xmlns:str="http://exslt.org/strings" xmlns:fn="http://www.w3.org/2005/xpath-functions">
      <w:pPr>
        <w:jc w:val="both"/>
      </w:pPr>
      <w:r>
        <w:rPr>
          <w:i/>
        </w:rPr>
        <w:t xml:space="preserve">«При формировании Сводного прогнозного баланса на 2021 год также будут учтены особенности 2020 года, связанные с распространением новой коронавирусной инфекции COVID-19»</w:t>
      </w:r>
      <w:r>
        <w:t xml:space="preserve">, - отметил начальник отдела антимонопольного контроля оптового рынка Управления регулирования электроэнергетики ФАС России Максим Пальянов.</w:t>
      </w:r>
    </w:p>
    <w:p xmlns:w="http://schemas.openxmlformats.org/wordprocessingml/2006/main" xmlns:pkg="http://schemas.microsoft.com/office/2006/xmlPackage" xmlns:str="http://exslt.org/strings" xmlns:fn="http://www.w3.org/2005/xpath-functions">
      <w:pPr>
        <w:jc w:val="both"/>
      </w:pPr>
      <w:r>
        <w:t xml:space="preserve">Спикер обратил внимание, что предельные уровни тарифов на услуги по передаче электроэнергии также будут утверждены на заседании Правления ФАС России, в состав которого входят представители Минэкономразвития России и Минэнерго России.</w:t>
      </w:r>
    </w:p>
    <w:p xmlns:w="http://schemas.openxmlformats.org/wordprocessingml/2006/main" xmlns:pkg="http://schemas.microsoft.com/office/2006/xmlPackage" xmlns:str="http://exslt.org/strings" xmlns:fn="http://www.w3.org/2005/xpath-functions">
      <w:pPr>
        <w:jc w:val="both"/>
      </w:pPr>
      <w:r>
        <w:rPr>
          <w:i/>
        </w:rPr>
        <w:t xml:space="preserve">«При формировании предельных уровней тарифов на услуги по передаче электроэнергии на 2021 ФАС России в первую очередь будет учитывать прогноз социально-экономического развития Российской Федерации до 2024 года, в соответствии с которым в 2021 году рост тарифов на услуги по передачи электрической энергии для прочих потребителей должен составить не более 3 %, для населения - не более 5 %. Тарифы для категории потребителей «население» индексируются с учетом необходимости ликвидации перекрестного субсидирования в электросетевом комплексе»</w:t>
      </w:r>
      <w:r>
        <w:t xml:space="preserve">, - добавил Дмитрий Васильев.</w:t>
      </w:r>
    </w:p>
    <w:p xmlns:w="http://schemas.openxmlformats.org/wordprocessingml/2006/main" xmlns:pkg="http://schemas.microsoft.com/office/2006/xmlPackage" xmlns:str="http://exslt.org/strings" xmlns:fn="http://www.w3.org/2005/xpath-functions">
      <w:pPr>
        <w:jc w:val="both"/>
      </w:pPr>
      <w:r>
        <w:t xml:space="preserve">Также, по его словам, при расчете предельных уровней тарифов антимонопольная служба учла ускоренный рост тарифов по уровням напряжения, на которых перекрестное субсидирование имеет отрицательное значение, предложения региональных органов регулирования по изменению структуры потребления, «заморозку» тарифов в регионах страны, превысивших предельный объем перекрестного субсидирования, а также положения постановления Правительства РФ от 13.11.2019 № 1450 о распределении объемов перекрестного субсидирования по уровням напряжения.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