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заменяет штрафы на предупреждения для субъектов малого и среднего бизнеса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октября 2020, 10:15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целях снижения административного давления и в соответствии с КоАП РФ вместо штрафа служба вынесла предупреждение компании «РУФОРМ», нарушившей Закон о рекламе</w:t>
      </w:r>
      <w:r>
        <w:rPr>
          <w:i/>
        </w:rP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предупредила ООО «РУФОРМ» о недопустимости нарушения Закона о рекламе. Служба заменила организации административный штраф на предупреждение в связи с тем, что организация включена в Единый реестр субъектов малого и среднего предпринимательства.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ФАС России признала рекламный ролик 
        </w:t>
        </w:r>
      </w:hyperlink>
      <w:r>
        <w:t xml:space="preserve">о гигиеническом спрее «Элемент 47», размещенный на видеохостинге rutube.ru, ненадлежащим.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рекламе сообщалось о лечебных свойствах товара, в то время как такая информация может содержаться только в рекламе лекарственных средств и медицинских услуг. Ни тем, ни другим спрей «Элемент 47» не является.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Организация уже исполнила предупреждение службы и устранила нарушение.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 как рекламораспространителем ненадлежащей рекламы является компания «РУФОРМ», она  также несет ответственность за такое правонарушение, - </w:t>
      </w:r>
      <w:r>
        <w:t xml:space="preserve">поясняет начальник Управления контроля рекламы и недобросовестной конкуренции ФАС России Татьяна Никитина. – </w:t>
      </w:r>
      <w:r>
        <w:rPr>
          <w:i/>
        </w:rPr>
        <w:t xml:space="preserve">Однако, в соответствии с Кодексом об административных правонарушениях для субъектов малого и среднего предпринимательства, впервые нарушивших Закон о рекламе , штраф заменяется предупреждением».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</w:t>
      </w:r>
      <w:r>
        <w:t xml:space="preserve">пункт 6 части 5 статьи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В  соответствии с частью 1 статьи 4.1.1 Кодекса Российской Федерации об административных правонарушениях замена административного наказания в виде административного штрафа предупреждением лицам,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51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