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дела в отношении картелей могут длиться годами, но результаты этой работы того стоят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2020, 09:52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декартелизации строительной отрасли и крупных сговорах рассказал представитель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октября 2020 года начальник Управления по борьбе с картелями ФАС России Андрей Тенишев принял участие в конференции Право.ру «Девелопмент и строительство: правовые вопросы».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он сообщил, что за последние 2,5 года антимонопольные органы возбудили 649 дел об антиконкурентных соглашениях в сфере строительства. Среди них 240 дел о картелях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«Сфера строительства является одним из лидеров по картелизации. Ежегодно от 29% до 37% антиконкурентных соглашений составляют именно сговоры в стройке, </w:t>
      </w:r>
      <w:r>
        <w:t xml:space="preserve">- начал свое выступление Андрей Тенишев.</w:t>
      </w:r>
      <w:r>
        <w:rPr>
          <w:i/>
        </w:rPr>
        <w:t xml:space="preserve"> - Предпосылок для формирования такой ситуации на рынке достаточно много. Строительство дорог, школ и социальных учреждений финансирует государство – нередко суммы заказов достигают миллиардов рублей. Во многих регионах строительная сфера характеризуется невысоким уровнем конкуренции и ограниченным кругом участников. Это и создает предпосылки для картелизации».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характерного примера спикер привел Челябинскую область: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вынесли решение об антиконкурентных соглашениях бывшего губернатора области, Министерства дорожного строительства и АО «Южуралмост». В регионе был вполне конкурентный рынок ремонта и строительства дорог, и компания «Южуралмост» занимала на этом рынке всего лишь несколько процентов. Вследствие сговора с местными органами власти к концу 2018 года ее доля составила уже почти 98% местного рынка, </w:t>
      </w:r>
      <w:r>
        <w:t xml:space="preserve">- сообщил Андрей Тенишев</w:t>
      </w:r>
      <w:r>
        <w:rPr>
          <w:i/>
        </w:rPr>
        <w:t xml:space="preserve">. - Для нее создавались преимущественные условия на торгах, специально укрупнялись лоты, а заявки остальных компаний отклонялись. По нашим оценкам, незаконно полученный доход превысил 2,3 млрд рублей. Кроме того, был нанесен ущерб и бизнесу – остальные участники рынка обанкротились или ушли в другие регионы».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Тенишев констатировал, что в настоящее время ситуация с конкуренцией в дорожной отрасли в Челябинской области существенно изменилась: на торги приходят от 2 до 6 компаний и конкурируют между собой. Количество жалоб на торги снизилось вдвое и, как правило, жалобы эти являются необоснованными.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серьезный эффект не только для конкуренции как таковой, но и для участников рынка. Компании смогли получить доступ к госзаказу – строить, работать, получать прибыль, создавать рабочие места и платить заработную плату»,</w:t>
      </w:r>
      <w:r>
        <w:t xml:space="preserve"> - добавил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второго прецедентного случая представитель ФАС назвал дело в отношении бывшего мэра г. Владивостока. Он сообщил, что по иску Генпрокуратуры России бывший мэр города, его брат и аффилированные с ними компании в принудительном порядке вернули в бюджет государства более 1,4 млрд рублей, полученных в результате сговора.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«Чем крупнее дела, тем серьезнее риски. Сотни антимонопольных дел с миллиардными штрафами и уголовным преследованием часто остаются за рамками всеобщего внимания. Эффекты здесь не быстрые, дела длятся месяцами, и даже годами. Но результаты уже есть и, уверен, будут еще»,</w:t>
      </w:r>
      <w:r>
        <w:t xml:space="preserve"> - заключил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[photo_1700]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